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8E" w:rsidRPr="003319DA" w:rsidRDefault="006B14AA" w:rsidP="00F90D77">
      <w:pPr>
        <w:pStyle w:val="Nazov"/>
      </w:pPr>
      <w:r w:rsidRPr="006B14AA">
        <w:t>Zmeny stavieb z hľadiska ochrany pred požiarmi v SR</w:t>
      </w:r>
    </w:p>
    <w:p w:rsidR="00E46A8E" w:rsidRPr="003319DA" w:rsidRDefault="00E46A8E" w:rsidP="00F90D77">
      <w:pPr>
        <w:pStyle w:val="Autor"/>
      </w:pPr>
      <w:r w:rsidRPr="003319DA">
        <w:t>Marian Suja</w:t>
      </w:r>
    </w:p>
    <w:p w:rsidR="00E46A8E" w:rsidRPr="003319DA" w:rsidRDefault="00E46A8E" w:rsidP="00F90D77">
      <w:pPr>
        <w:pStyle w:val="Napdis3"/>
        <w:widowControl/>
      </w:pPr>
      <w:r w:rsidRPr="003319DA">
        <w:t>Akadémia Policajného zboru</w:t>
      </w:r>
      <w:r>
        <w:t xml:space="preserve"> v </w:t>
      </w:r>
      <w:r w:rsidRPr="003319DA">
        <w:t>Bratislave</w:t>
      </w:r>
    </w:p>
    <w:p w:rsidR="00E46A8E" w:rsidRDefault="00E46A8E" w:rsidP="00F90D77">
      <w:pPr>
        <w:pStyle w:val="Abstrakt"/>
        <w:widowControl/>
        <w:rPr>
          <w:b/>
          <w:bCs/>
          <w:lang w:val="sk-SK"/>
        </w:rPr>
      </w:pPr>
    </w:p>
    <w:p w:rsidR="00E46A8E" w:rsidRPr="00E62AC4" w:rsidRDefault="00E46A8E" w:rsidP="00F90D77">
      <w:pPr>
        <w:pStyle w:val="Abstrakt"/>
        <w:widowControl/>
        <w:rPr>
          <w:lang w:val="sk-SK"/>
        </w:rPr>
      </w:pPr>
      <w:r w:rsidRPr="00E62AC4">
        <w:rPr>
          <w:b/>
          <w:bCs/>
          <w:lang w:val="sk-SK"/>
        </w:rPr>
        <w:t>Abstrakt:</w:t>
      </w:r>
      <w:r w:rsidRPr="00E62AC4">
        <w:rPr>
          <w:lang w:val="sk-SK"/>
        </w:rPr>
        <w:t xml:space="preserve"> </w:t>
      </w:r>
      <w:r w:rsidR="00B73DB8" w:rsidRPr="00B73DB8">
        <w:rPr>
          <w:lang w:val="sk-SK"/>
        </w:rPr>
        <w:t>V článku je charakterizovaná stavba z hľadiska platných právnych predpisov, ako aj užívanie stavby, ale hlavne je analyzované spracovanie riešenia protipožiarnej bezpečnosti zmeny dokončenej stavby.</w:t>
      </w:r>
      <w:r w:rsidR="0027377C">
        <w:rPr>
          <w:lang w:val="sk-SK"/>
        </w:rPr>
        <w:t xml:space="preserve"> </w:t>
      </w:r>
    </w:p>
    <w:p w:rsidR="00E46A8E" w:rsidRPr="003319DA" w:rsidRDefault="00E46A8E" w:rsidP="00F90D77">
      <w:pPr>
        <w:pStyle w:val="Abstrakt"/>
        <w:widowControl/>
        <w:rPr>
          <w:lang w:val="sk-SK"/>
        </w:rPr>
      </w:pPr>
    </w:p>
    <w:p w:rsidR="00E46A8E" w:rsidRDefault="00E46A8E" w:rsidP="00F90D77">
      <w:pPr>
        <w:pStyle w:val="Abstrakt"/>
        <w:widowControl/>
        <w:rPr>
          <w:lang w:val="sk-SK"/>
        </w:rPr>
      </w:pPr>
      <w:r w:rsidRPr="003319DA">
        <w:rPr>
          <w:b/>
          <w:bCs/>
          <w:lang w:val="sk-SK"/>
        </w:rPr>
        <w:t>Kľúčové slová:</w:t>
      </w:r>
      <w:r w:rsidRPr="003319DA">
        <w:rPr>
          <w:lang w:val="sk-SK"/>
        </w:rPr>
        <w:t xml:space="preserve"> </w:t>
      </w:r>
      <w:r w:rsidR="00B73DB8" w:rsidRPr="00B73DB8">
        <w:rPr>
          <w:lang w:val="sk-SK"/>
        </w:rPr>
        <w:t>stavba; užívanie stavby; zmena stavby; protipožiarna bezpečnosť stavby.</w:t>
      </w:r>
    </w:p>
    <w:p w:rsidR="00E46A8E" w:rsidRDefault="00E46A8E" w:rsidP="00F90D77">
      <w:pPr>
        <w:pStyle w:val="Abstrakt"/>
        <w:widowControl/>
        <w:rPr>
          <w:lang w:val="sk-SK"/>
        </w:rPr>
      </w:pPr>
    </w:p>
    <w:p w:rsidR="00E46A8E" w:rsidRPr="008536E4" w:rsidRDefault="00E46A8E" w:rsidP="00F90D77">
      <w:pPr>
        <w:pStyle w:val="Abstrakt"/>
        <w:widowControl/>
      </w:pPr>
      <w:r w:rsidRPr="00D258E1">
        <w:rPr>
          <w:b/>
          <w:bCs/>
        </w:rPr>
        <w:t>Abstract:</w:t>
      </w:r>
      <w:r w:rsidRPr="00D258E1">
        <w:t xml:space="preserve"> </w:t>
      </w:r>
      <w:r w:rsidR="00B73DB8" w:rsidRPr="00B73DB8">
        <w:t>The article characterizes the construction in terms of current legislation, also the term use of construction, but the article mainly analyses the processing of the fire safety for reconstruction of construction.</w:t>
      </w:r>
    </w:p>
    <w:p w:rsidR="00E46A8E" w:rsidRPr="008536E4" w:rsidRDefault="00E46A8E" w:rsidP="00F90D77">
      <w:pPr>
        <w:pStyle w:val="Abstrakt"/>
        <w:widowControl/>
      </w:pPr>
    </w:p>
    <w:p w:rsidR="00E46A8E" w:rsidRDefault="00E46A8E" w:rsidP="00F90D77">
      <w:pPr>
        <w:pStyle w:val="Abstrakt"/>
        <w:widowControl/>
        <w:rPr>
          <w:lang w:val="sk-SK"/>
        </w:rPr>
      </w:pPr>
      <w:r w:rsidRPr="00D258E1">
        <w:rPr>
          <w:b/>
          <w:bCs/>
        </w:rPr>
        <w:t>Key words:</w:t>
      </w:r>
      <w:r w:rsidRPr="00D258E1">
        <w:t xml:space="preserve"> </w:t>
      </w:r>
      <w:r w:rsidR="00B73DB8" w:rsidRPr="00B73DB8">
        <w:t>construction; use of a construction; change of construction; fire safety of construction.</w:t>
      </w:r>
    </w:p>
    <w:p w:rsidR="00E46A8E" w:rsidRPr="00967562" w:rsidRDefault="00E46A8E" w:rsidP="00F90D77">
      <w:pPr>
        <w:pStyle w:val="Abstrakt"/>
        <w:widowControl/>
        <w:rPr>
          <w:lang w:val="sk-SK"/>
        </w:rPr>
      </w:pPr>
    </w:p>
    <w:p w:rsidR="00B73DB8" w:rsidRPr="00F90D77" w:rsidRDefault="00F90D77" w:rsidP="00F90D77">
      <w:pPr>
        <w:pStyle w:val="Text"/>
        <w:keepNext/>
        <w:widowControl/>
        <w:spacing w:before="240"/>
        <w:rPr>
          <w:b/>
          <w:caps/>
        </w:rPr>
      </w:pPr>
      <w:r w:rsidRPr="00F90D77">
        <w:rPr>
          <w:b/>
        </w:rPr>
        <w:t>ÚVOD</w:t>
      </w:r>
    </w:p>
    <w:p w:rsidR="00E46A8E" w:rsidRDefault="00B73DB8" w:rsidP="00A32234">
      <w:pPr>
        <w:pStyle w:val="Text"/>
        <w:widowControl/>
        <w:ind w:firstLine="357"/>
      </w:pPr>
      <w:r w:rsidRPr="00B73DB8">
        <w:t xml:space="preserve">Odborná verejnosť, ktorá sa zaoberá ochranou pred požiarmi nemá jednotný názor, podľa čoho sa majú riešiť zmeny dokončených stavieb (ďalej len </w:t>
      </w:r>
      <w:r w:rsidR="00DD112D">
        <w:t>„</w:t>
      </w:r>
      <w:r w:rsidRPr="00B73DB8">
        <w:t>zmeny stavieb“), keďže do dnešnej doby nie je spracovaný právny predpis ohľadne zmien stavieb.</w:t>
      </w:r>
      <w:r w:rsidR="00DD112D">
        <w:rPr>
          <w:rStyle w:val="Odkaznapoznmkupodiarou"/>
        </w:rPr>
        <w:footnoteReference w:id="1"/>
      </w:r>
      <w:r w:rsidRPr="00B73DB8">
        <w:t xml:space="preserve"> Začiatok článku sa zameriava na stavbu a jej užívanie - čo je to stavba, podľa akých kritérií sa delia a ako sa užívajú stavby. Ďalej je rozobratá protipožiarna bezpečnosť zmien stavieb - kedy nastávajú zmeny stavieb z hľadiska ochrany pred požiarmi, riešenie protipožiarnej bezpečnosti zmien stavieb a podľa čoho sa majú riešiť zmeny stavieb. Článku nie sú zahrnuté pamiatkovo chránené stavby a kultúrne pamiatky, ktoré sú špecifické pre svoju historickú hodnotu (duchovnú hodnotu dejín kultúry a umenia) a riešenie protipožiarnej bezpečnosti týchto stavieb, by malo byť špecifické. Zmeny stavieb v pamiatkovo chránených stavbách a stavieb, ktoré boli kolaudované do 31.12.1981 alebo boli riešené podľa ČSN 73 0760 sú v súčasnosti riešené podľa slovenskej technickej normy pod názvom Požiarna bezpečnosť stavieb. Zmeny stavieb</w:t>
      </w:r>
      <w:r w:rsidR="00E46A8E">
        <w:rPr>
          <w:rStyle w:val="Odkaznapoznmkupodiarou"/>
        </w:rPr>
        <w:footnoteReference w:id="2"/>
      </w:r>
      <w:r>
        <w:t xml:space="preserve"> </w:t>
      </w:r>
      <w:r w:rsidRPr="00B73DB8">
        <w:t>(ďalej len „STN 73 0834“).</w:t>
      </w:r>
    </w:p>
    <w:p w:rsidR="00B73DB8" w:rsidRPr="00F90D77" w:rsidRDefault="00B73DB8" w:rsidP="00F90D77">
      <w:pPr>
        <w:pStyle w:val="Text"/>
        <w:keepNext/>
        <w:widowControl/>
        <w:spacing w:before="240"/>
        <w:rPr>
          <w:b/>
        </w:rPr>
      </w:pPr>
      <w:r w:rsidRPr="00F90D77">
        <w:rPr>
          <w:b/>
        </w:rPr>
        <w:t>UŽÍVANIE STAVIEB</w:t>
      </w:r>
    </w:p>
    <w:p w:rsidR="00B73DB8" w:rsidRDefault="00B73DB8" w:rsidP="00A32234">
      <w:pPr>
        <w:pStyle w:val="Text"/>
        <w:widowControl/>
        <w:ind w:firstLine="357"/>
      </w:pPr>
      <w:r>
        <w:t>Stavba musí byť ako celok a vo svojich častiach vhodné na zamýšľané použitie, a to najmä vzhľadom na zdravie a bezpečnosť ľudí počas ich celého životného cyklu. Stavba musí pri bežnej údržbe spĺňať nasledujúce základné požiadavky na stavby počas ekonomicky primeraného obdobia životnosti:</w:t>
      </w:r>
    </w:p>
    <w:p w:rsidR="00B73DB8" w:rsidRPr="00E95884" w:rsidRDefault="00B73DB8" w:rsidP="00A32234">
      <w:pPr>
        <w:pStyle w:val="Text"/>
        <w:widowControl/>
        <w:numPr>
          <w:ilvl w:val="0"/>
          <w:numId w:val="3"/>
        </w:numPr>
        <w:tabs>
          <w:tab w:val="left" w:pos="709"/>
        </w:tabs>
        <w:ind w:left="709" w:hanging="284"/>
      </w:pPr>
      <w:r w:rsidRPr="00E95884">
        <w:t>mechanickú odolnosť</w:t>
      </w:r>
      <w:r>
        <w:t xml:space="preserve"> a </w:t>
      </w:r>
      <w:r w:rsidRPr="00E95884">
        <w:t>stabilitu,</w:t>
      </w:r>
    </w:p>
    <w:p w:rsidR="00B73DB8" w:rsidRPr="00E95884" w:rsidRDefault="00B73DB8" w:rsidP="00A32234">
      <w:pPr>
        <w:pStyle w:val="Text"/>
        <w:widowControl/>
        <w:numPr>
          <w:ilvl w:val="0"/>
          <w:numId w:val="3"/>
        </w:numPr>
        <w:tabs>
          <w:tab w:val="left" w:pos="709"/>
        </w:tabs>
        <w:ind w:left="709" w:hanging="284"/>
      </w:pPr>
      <w:r w:rsidRPr="00E95884">
        <w:t>bezpečnosť</w:t>
      </w:r>
      <w:r>
        <w:t xml:space="preserve"> v </w:t>
      </w:r>
      <w:r w:rsidRPr="00E95884">
        <w:t>pr</w:t>
      </w:r>
      <w:r>
        <w:t>ípade požiaru (ďalej len „proti</w:t>
      </w:r>
      <w:r w:rsidRPr="00E95884">
        <w:t>požiarna bezpečnosť stavby“),</w:t>
      </w:r>
    </w:p>
    <w:p w:rsidR="00B73DB8" w:rsidRPr="00E95884" w:rsidRDefault="00B73DB8" w:rsidP="00A32234">
      <w:pPr>
        <w:pStyle w:val="Text"/>
        <w:widowControl/>
        <w:numPr>
          <w:ilvl w:val="0"/>
          <w:numId w:val="3"/>
        </w:numPr>
        <w:tabs>
          <w:tab w:val="left" w:pos="709"/>
        </w:tabs>
        <w:ind w:left="709" w:hanging="284"/>
      </w:pPr>
      <w:r w:rsidRPr="00E95884">
        <w:t>hygienu</w:t>
      </w:r>
      <w:r>
        <w:t xml:space="preserve"> a </w:t>
      </w:r>
      <w:r w:rsidRPr="00E95884">
        <w:t>ochranu zdravia</w:t>
      </w:r>
      <w:r>
        <w:t xml:space="preserve"> a </w:t>
      </w:r>
      <w:r w:rsidRPr="00E95884">
        <w:t>životného prostredia,</w:t>
      </w:r>
    </w:p>
    <w:p w:rsidR="00B73DB8" w:rsidRPr="00E95884" w:rsidRDefault="00B73DB8" w:rsidP="00A32234">
      <w:pPr>
        <w:pStyle w:val="Text"/>
        <w:widowControl/>
        <w:numPr>
          <w:ilvl w:val="0"/>
          <w:numId w:val="3"/>
        </w:numPr>
        <w:tabs>
          <w:tab w:val="left" w:pos="709"/>
        </w:tabs>
        <w:ind w:left="709" w:hanging="284"/>
      </w:pPr>
      <w:r w:rsidRPr="00E95884">
        <w:t>bezpečnosť</w:t>
      </w:r>
      <w:r>
        <w:t xml:space="preserve"> a </w:t>
      </w:r>
      <w:r w:rsidRPr="00E95884">
        <w:t>prístupnosť pri používaní,</w:t>
      </w:r>
    </w:p>
    <w:p w:rsidR="00B73DB8" w:rsidRPr="00E95884" w:rsidRDefault="00B73DB8" w:rsidP="00A32234">
      <w:pPr>
        <w:pStyle w:val="Text"/>
        <w:widowControl/>
        <w:numPr>
          <w:ilvl w:val="0"/>
          <w:numId w:val="3"/>
        </w:numPr>
        <w:tabs>
          <w:tab w:val="left" w:pos="709"/>
        </w:tabs>
        <w:ind w:left="709" w:hanging="284"/>
      </w:pPr>
      <w:r w:rsidRPr="00E95884">
        <w:t>ochranu proti hluku,</w:t>
      </w:r>
    </w:p>
    <w:p w:rsidR="00B73DB8" w:rsidRPr="00E95884" w:rsidRDefault="00B73DB8" w:rsidP="00A32234">
      <w:pPr>
        <w:pStyle w:val="Text"/>
        <w:widowControl/>
        <w:numPr>
          <w:ilvl w:val="0"/>
          <w:numId w:val="3"/>
        </w:numPr>
        <w:tabs>
          <w:tab w:val="left" w:pos="709"/>
        </w:tabs>
        <w:ind w:left="709" w:hanging="284"/>
      </w:pPr>
      <w:r w:rsidRPr="00E95884">
        <w:t>energetickú hospodárnosť</w:t>
      </w:r>
      <w:r>
        <w:t xml:space="preserve"> a </w:t>
      </w:r>
      <w:r w:rsidRPr="00E95884">
        <w:t>udržiavanie tepla,</w:t>
      </w:r>
    </w:p>
    <w:p w:rsidR="00B73DB8" w:rsidRPr="00E95884" w:rsidRDefault="00B73DB8" w:rsidP="00A32234">
      <w:pPr>
        <w:pStyle w:val="Text"/>
        <w:widowControl/>
        <w:numPr>
          <w:ilvl w:val="0"/>
          <w:numId w:val="3"/>
        </w:numPr>
        <w:tabs>
          <w:tab w:val="left" w:pos="709"/>
        </w:tabs>
        <w:ind w:left="709" w:hanging="284"/>
      </w:pPr>
      <w:r w:rsidRPr="00E95884">
        <w:t>trvalo udržateľné využívanie prírodných zdrojov.</w:t>
      </w:r>
    </w:p>
    <w:p w:rsidR="00B73DB8" w:rsidRDefault="00B73DB8" w:rsidP="00A32234">
      <w:pPr>
        <w:pStyle w:val="Text"/>
        <w:widowControl/>
        <w:ind w:firstLine="357"/>
      </w:pPr>
      <w:r>
        <w:t>Z hľadiska protipožiarnej bezpečnosti stavby sa musí stavba navrhnúť a postaviť tak, aby pri požiari:</w:t>
      </w:r>
    </w:p>
    <w:p w:rsidR="00B73DB8" w:rsidRDefault="00B73DB8" w:rsidP="00A32234">
      <w:pPr>
        <w:pStyle w:val="Text"/>
        <w:widowControl/>
        <w:numPr>
          <w:ilvl w:val="0"/>
          <w:numId w:val="3"/>
        </w:numPr>
        <w:tabs>
          <w:tab w:val="left" w:pos="709"/>
        </w:tabs>
        <w:ind w:left="709" w:hanging="284"/>
      </w:pPr>
      <w:r>
        <w:t>sa zachovala nosnosť a stabilita nosnej konštrukcie stavby po určený čas,</w:t>
      </w:r>
    </w:p>
    <w:p w:rsidR="00B73DB8" w:rsidRDefault="00B73DB8" w:rsidP="00A32234">
      <w:pPr>
        <w:pStyle w:val="Text"/>
        <w:widowControl/>
        <w:numPr>
          <w:ilvl w:val="0"/>
          <w:numId w:val="3"/>
        </w:numPr>
        <w:tabs>
          <w:tab w:val="left" w:pos="709"/>
        </w:tabs>
        <w:ind w:left="709" w:hanging="284"/>
      </w:pPr>
      <w:r>
        <w:lastRenderedPageBreak/>
        <w:t>sa obmedzil vznik a šírenie ohňa a dymu z ohniska požiaru v stavbe,</w:t>
      </w:r>
    </w:p>
    <w:p w:rsidR="00B73DB8" w:rsidRDefault="00B73DB8" w:rsidP="00A32234">
      <w:pPr>
        <w:pStyle w:val="Text"/>
        <w:widowControl/>
        <w:numPr>
          <w:ilvl w:val="0"/>
          <w:numId w:val="3"/>
        </w:numPr>
        <w:tabs>
          <w:tab w:val="left" w:pos="709"/>
        </w:tabs>
        <w:ind w:left="709" w:hanging="284"/>
      </w:pPr>
      <w:r>
        <w:t>sa obmedzila možnosť rozšírenia požiaru z ohniska požiaru na susedné stavby,</w:t>
      </w:r>
    </w:p>
    <w:p w:rsidR="00B73DB8" w:rsidRDefault="00B73DB8" w:rsidP="00A32234">
      <w:pPr>
        <w:pStyle w:val="Text"/>
        <w:widowControl/>
        <w:numPr>
          <w:ilvl w:val="0"/>
          <w:numId w:val="3"/>
        </w:numPr>
        <w:tabs>
          <w:tab w:val="left" w:pos="709"/>
        </w:tabs>
        <w:ind w:left="709" w:hanging="284"/>
      </w:pPr>
      <w:r>
        <w:t>mohli ľudia včas opustiť stavbu alebo zachrániť sa iným spôsobom,</w:t>
      </w:r>
    </w:p>
    <w:p w:rsidR="00B73DB8" w:rsidRDefault="00B73DB8" w:rsidP="00A32234">
      <w:pPr>
        <w:pStyle w:val="Text"/>
        <w:widowControl/>
        <w:numPr>
          <w:ilvl w:val="0"/>
          <w:numId w:val="3"/>
        </w:numPr>
        <w:tabs>
          <w:tab w:val="left" w:pos="709"/>
        </w:tabs>
        <w:ind w:left="709" w:hanging="284"/>
      </w:pPr>
      <w:r>
        <w:t>sa zaistila bezpečnosť hasičských jednotiek.</w:t>
      </w:r>
      <w:r>
        <w:rPr>
          <w:rStyle w:val="Odkaznapoznmkupodiarou"/>
        </w:rPr>
        <w:footnoteReference w:id="3"/>
      </w:r>
    </w:p>
    <w:p w:rsidR="00B73DB8" w:rsidRDefault="00B73DB8" w:rsidP="00A32234">
      <w:pPr>
        <w:pStyle w:val="Text"/>
        <w:widowControl/>
        <w:ind w:firstLine="357"/>
      </w:pPr>
      <w:r>
        <w:t>Stavby, ich zmeny a udržiavacie práce na nich sa môžu uskutočňovať iba podľa stavebného povolenia alebo na základe ohlásenia stavebnému úradu. Stavebné povolenie sa vyžaduje, pokiaľ stavebný zákon...</w:t>
      </w:r>
    </w:p>
    <w:p w:rsidR="00F90D77" w:rsidRPr="00F90D77" w:rsidRDefault="00F90D77" w:rsidP="00F90D77">
      <w:pPr>
        <w:pStyle w:val="Text"/>
        <w:keepNext/>
        <w:widowControl/>
        <w:rPr>
          <w:b/>
        </w:rPr>
      </w:pPr>
      <w:r w:rsidRPr="00F90D77">
        <w:rPr>
          <w:b/>
        </w:rPr>
        <w:t xml:space="preserve">Podnadpis </w:t>
      </w:r>
      <w:r w:rsidR="00155AB2">
        <w:rPr>
          <w:b/>
        </w:rPr>
        <w:t>prvej</w:t>
      </w:r>
      <w:r w:rsidRPr="00F90D77">
        <w:rPr>
          <w:b/>
        </w:rPr>
        <w:t xml:space="preserve"> úrovne</w:t>
      </w:r>
    </w:p>
    <w:p w:rsidR="00F90D77" w:rsidRDefault="00BC651F" w:rsidP="00A32234">
      <w:pPr>
        <w:pStyle w:val="Text"/>
        <w:widowControl/>
        <w:ind w:firstLine="357"/>
      </w:pPr>
      <w:r>
        <w:t>Text xxx</w:t>
      </w:r>
    </w:p>
    <w:p w:rsidR="00F90D77" w:rsidRDefault="00155AB2" w:rsidP="00155AB2">
      <w:pPr>
        <w:pStyle w:val="Text"/>
        <w:keepNext/>
        <w:widowControl/>
        <w:rPr>
          <w:i/>
        </w:rPr>
      </w:pPr>
      <w:r w:rsidRPr="00155AB2">
        <w:rPr>
          <w:i/>
        </w:rPr>
        <w:t>Podnadpis druhej úrovne</w:t>
      </w:r>
    </w:p>
    <w:p w:rsidR="00BC651F" w:rsidRDefault="00BC651F" w:rsidP="00BC651F">
      <w:pPr>
        <w:pStyle w:val="Text"/>
        <w:widowControl/>
        <w:ind w:firstLine="357"/>
      </w:pPr>
      <w:r>
        <w:t>Text xxx</w:t>
      </w:r>
    </w:p>
    <w:p w:rsidR="00BC651F" w:rsidRPr="00012A61" w:rsidRDefault="00BC651F" w:rsidP="00BC651F">
      <w:pPr>
        <w:pStyle w:val="Popis"/>
        <w:keepNext/>
        <w:spacing w:before="120" w:after="120" w:line="240" w:lineRule="auto"/>
        <w:jc w:val="center"/>
        <w:rPr>
          <w:rFonts w:ascii="Times New Roman" w:hAnsi="Times New Roman"/>
          <w:lang w:val="en-GB"/>
        </w:rPr>
      </w:pPr>
      <w:r w:rsidRPr="00012A61">
        <w:rPr>
          <w:rFonts w:ascii="Times New Roman" w:hAnsi="Times New Roman"/>
          <w:lang w:val="en-GB"/>
        </w:rPr>
        <w:t>Tab</w:t>
      </w:r>
      <w:r>
        <w:rPr>
          <w:rFonts w:ascii="Times New Roman" w:hAnsi="Times New Roman"/>
          <w:lang w:val="en-GB"/>
        </w:rPr>
        <w:t>.</w:t>
      </w:r>
      <w:r w:rsidRPr="00012A61">
        <w:rPr>
          <w:rFonts w:ascii="Times New Roman" w:hAnsi="Times New Roman"/>
          <w:lang w:val="en-GB"/>
        </w:rPr>
        <w:t xml:space="preserve"> 1 Fires in forests in 2000 by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070"/>
        <w:gridCol w:w="1701"/>
        <w:gridCol w:w="1418"/>
        <w:gridCol w:w="1276"/>
        <w:gridCol w:w="1213"/>
      </w:tblGrid>
      <w:tr w:rsidR="00BC651F" w:rsidRPr="00012A61" w:rsidTr="000807BF">
        <w:trPr>
          <w:trHeight w:val="540"/>
          <w:jc w:val="center"/>
        </w:trPr>
        <w:tc>
          <w:tcPr>
            <w:tcW w:w="2350" w:type="dxa"/>
            <w:tcBorders>
              <w:top w:val="single" w:sz="12" w:space="0" w:color="auto"/>
              <w:left w:val="single" w:sz="12" w:space="0" w:color="auto"/>
              <w:bottom w:val="single" w:sz="12" w:space="0" w:color="auto"/>
              <w:right w:val="single" w:sz="12" w:space="0" w:color="auto"/>
            </w:tcBorders>
            <w:shd w:val="clear" w:color="auto" w:fill="auto"/>
            <w:noWrap/>
            <w:hideMark/>
          </w:tcPr>
          <w:p w:rsidR="00BC651F" w:rsidRPr="00027721" w:rsidRDefault="00BC651F" w:rsidP="000807BF">
            <w:pPr>
              <w:pStyle w:val="Text"/>
              <w:rPr>
                <w:b/>
                <w:bCs/>
                <w:szCs w:val="24"/>
              </w:rPr>
            </w:pPr>
            <w:r w:rsidRPr="00027721">
              <w:rPr>
                <w:b/>
                <w:bCs/>
                <w:szCs w:val="24"/>
              </w:rPr>
              <w:t>Region</w:t>
            </w:r>
          </w:p>
        </w:tc>
        <w:tc>
          <w:tcPr>
            <w:tcW w:w="992" w:type="dxa"/>
            <w:tcBorders>
              <w:top w:val="single" w:sz="12" w:space="0" w:color="auto"/>
              <w:left w:val="single" w:sz="12" w:space="0" w:color="auto"/>
              <w:bottom w:val="single" w:sz="12" w:space="0" w:color="auto"/>
            </w:tcBorders>
            <w:shd w:val="clear" w:color="auto" w:fill="auto"/>
            <w:hideMark/>
          </w:tcPr>
          <w:p w:rsidR="00BC651F" w:rsidRPr="00027721" w:rsidRDefault="00BC651F" w:rsidP="000807BF">
            <w:pPr>
              <w:pStyle w:val="Text"/>
              <w:jc w:val="center"/>
              <w:rPr>
                <w:b/>
                <w:bCs/>
                <w:szCs w:val="24"/>
              </w:rPr>
            </w:pPr>
            <w:r w:rsidRPr="00027721">
              <w:rPr>
                <w:b/>
                <w:bCs/>
                <w:szCs w:val="24"/>
              </w:rPr>
              <w:t>Number of fires</w:t>
            </w:r>
          </w:p>
        </w:tc>
        <w:tc>
          <w:tcPr>
            <w:tcW w:w="1701" w:type="dxa"/>
            <w:tcBorders>
              <w:top w:val="single" w:sz="12" w:space="0" w:color="auto"/>
              <w:bottom w:val="single" w:sz="12" w:space="0" w:color="auto"/>
            </w:tcBorders>
            <w:shd w:val="clear" w:color="auto" w:fill="auto"/>
            <w:hideMark/>
          </w:tcPr>
          <w:p w:rsidR="00BC651F" w:rsidRPr="00027721" w:rsidRDefault="00BC651F" w:rsidP="000807BF">
            <w:pPr>
              <w:pStyle w:val="Text"/>
              <w:jc w:val="center"/>
              <w:rPr>
                <w:b/>
                <w:bCs/>
                <w:szCs w:val="24"/>
              </w:rPr>
            </w:pPr>
            <w:r w:rsidRPr="00027721">
              <w:rPr>
                <w:b/>
                <w:bCs/>
                <w:szCs w:val="24"/>
              </w:rPr>
              <w:t>Direct damage (Sk)</w:t>
            </w:r>
          </w:p>
        </w:tc>
        <w:tc>
          <w:tcPr>
            <w:tcW w:w="1418" w:type="dxa"/>
            <w:tcBorders>
              <w:top w:val="single" w:sz="12" w:space="0" w:color="auto"/>
              <w:bottom w:val="single" w:sz="12" w:space="0" w:color="auto"/>
            </w:tcBorders>
            <w:shd w:val="clear" w:color="auto" w:fill="auto"/>
            <w:hideMark/>
          </w:tcPr>
          <w:p w:rsidR="00BC651F" w:rsidRPr="00027721" w:rsidRDefault="00BC651F" w:rsidP="000807BF">
            <w:pPr>
              <w:pStyle w:val="Text"/>
              <w:jc w:val="center"/>
              <w:rPr>
                <w:b/>
                <w:bCs/>
                <w:szCs w:val="24"/>
              </w:rPr>
            </w:pPr>
            <w:r w:rsidRPr="00027721">
              <w:rPr>
                <w:b/>
                <w:bCs/>
                <w:szCs w:val="24"/>
              </w:rPr>
              <w:t>Direct damage (€)</w:t>
            </w:r>
          </w:p>
        </w:tc>
        <w:tc>
          <w:tcPr>
            <w:tcW w:w="1276" w:type="dxa"/>
            <w:tcBorders>
              <w:top w:val="single" w:sz="12" w:space="0" w:color="auto"/>
              <w:bottom w:val="single" w:sz="12" w:space="0" w:color="auto"/>
            </w:tcBorders>
            <w:shd w:val="clear" w:color="auto" w:fill="auto"/>
            <w:hideMark/>
          </w:tcPr>
          <w:p w:rsidR="00BC651F" w:rsidRPr="00027721" w:rsidRDefault="00BC651F" w:rsidP="000807BF">
            <w:pPr>
              <w:pStyle w:val="Text"/>
              <w:jc w:val="center"/>
              <w:rPr>
                <w:b/>
                <w:bCs/>
                <w:szCs w:val="24"/>
              </w:rPr>
            </w:pPr>
            <w:r w:rsidRPr="00027721">
              <w:rPr>
                <w:b/>
                <w:bCs/>
                <w:szCs w:val="24"/>
              </w:rPr>
              <w:t>Killed persons</w:t>
            </w:r>
          </w:p>
        </w:tc>
        <w:tc>
          <w:tcPr>
            <w:tcW w:w="1213" w:type="dxa"/>
            <w:tcBorders>
              <w:top w:val="single" w:sz="12" w:space="0" w:color="auto"/>
              <w:bottom w:val="single" w:sz="12" w:space="0" w:color="auto"/>
              <w:right w:val="single" w:sz="12" w:space="0" w:color="auto"/>
            </w:tcBorders>
            <w:shd w:val="clear" w:color="auto" w:fill="auto"/>
            <w:hideMark/>
          </w:tcPr>
          <w:p w:rsidR="00BC651F" w:rsidRPr="00027721" w:rsidRDefault="00BC651F" w:rsidP="000807BF">
            <w:pPr>
              <w:pStyle w:val="Text"/>
              <w:jc w:val="center"/>
              <w:rPr>
                <w:b/>
                <w:bCs/>
                <w:szCs w:val="24"/>
              </w:rPr>
            </w:pPr>
            <w:r w:rsidRPr="00027721">
              <w:rPr>
                <w:b/>
                <w:bCs/>
                <w:szCs w:val="24"/>
              </w:rPr>
              <w:t>Injured persons</w:t>
            </w:r>
          </w:p>
        </w:tc>
      </w:tr>
      <w:tr w:rsidR="00BC651F" w:rsidRPr="00012A61" w:rsidTr="000807BF">
        <w:trPr>
          <w:trHeight w:val="270"/>
          <w:jc w:val="center"/>
        </w:trPr>
        <w:tc>
          <w:tcPr>
            <w:tcW w:w="2350" w:type="dxa"/>
            <w:tcBorders>
              <w:top w:val="single" w:sz="12" w:space="0" w:color="auto"/>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szCs w:val="24"/>
              </w:rPr>
              <w:t>Bratislavský</w:t>
            </w:r>
          </w:p>
        </w:tc>
        <w:tc>
          <w:tcPr>
            <w:tcW w:w="992" w:type="dxa"/>
            <w:tcBorders>
              <w:top w:val="single" w:sz="12" w:space="0" w:color="auto"/>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60</w:t>
            </w:r>
          </w:p>
        </w:tc>
        <w:tc>
          <w:tcPr>
            <w:tcW w:w="1701" w:type="dxa"/>
            <w:tcBorders>
              <w:top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353 700</w:t>
            </w:r>
          </w:p>
        </w:tc>
        <w:tc>
          <w:tcPr>
            <w:tcW w:w="1418" w:type="dxa"/>
            <w:tcBorders>
              <w:top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11 741</w:t>
            </w:r>
          </w:p>
        </w:tc>
        <w:tc>
          <w:tcPr>
            <w:tcW w:w="1276" w:type="dxa"/>
            <w:tcBorders>
              <w:top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top w:val="single" w:sz="12" w:space="0" w:color="auto"/>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Trnavský</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51</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482 000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15 999</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0</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Trenčiansky</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55</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952 600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31 621</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Nitriansky</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44</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377 100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12 517</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0</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Žilinský</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197</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1 441 100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47 836</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2</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Banskobystrický</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121</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3 064 700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101 729</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0</w:t>
            </w:r>
          </w:p>
        </w:tc>
      </w:tr>
      <w:tr w:rsidR="00BC651F" w:rsidRPr="00012A61" w:rsidTr="000807BF">
        <w:trPr>
          <w:trHeight w:val="270"/>
          <w:jc w:val="center"/>
        </w:trPr>
        <w:tc>
          <w:tcPr>
            <w:tcW w:w="2350" w:type="dxa"/>
            <w:tcBorders>
              <w:left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Prešovský</w:t>
            </w:r>
          </w:p>
        </w:tc>
        <w:tc>
          <w:tcPr>
            <w:tcW w:w="992" w:type="dxa"/>
            <w:tcBorders>
              <w:lef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162</w:t>
            </w:r>
          </w:p>
        </w:tc>
        <w:tc>
          <w:tcPr>
            <w:tcW w:w="1701" w:type="dxa"/>
            <w:shd w:val="clear" w:color="auto" w:fill="auto"/>
            <w:noWrap/>
            <w:hideMark/>
          </w:tcPr>
          <w:p w:rsidR="00BC651F" w:rsidRPr="00027721" w:rsidRDefault="00BC651F" w:rsidP="000807BF">
            <w:pPr>
              <w:pStyle w:val="Text"/>
              <w:jc w:val="center"/>
              <w:rPr>
                <w:szCs w:val="24"/>
              </w:rPr>
            </w:pPr>
            <w:r w:rsidRPr="00027721">
              <w:rPr>
                <w:szCs w:val="24"/>
              </w:rPr>
              <w:t>4 388 400</w:t>
            </w:r>
          </w:p>
        </w:tc>
        <w:tc>
          <w:tcPr>
            <w:tcW w:w="1418" w:type="dxa"/>
            <w:shd w:val="clear" w:color="auto" w:fill="auto"/>
            <w:noWrap/>
            <w:hideMark/>
          </w:tcPr>
          <w:p w:rsidR="00BC651F" w:rsidRPr="00027721" w:rsidRDefault="00BC651F" w:rsidP="000807BF">
            <w:pPr>
              <w:pStyle w:val="Text"/>
              <w:jc w:val="center"/>
              <w:rPr>
                <w:szCs w:val="24"/>
              </w:rPr>
            </w:pPr>
            <w:r w:rsidRPr="00027721">
              <w:rPr>
                <w:szCs w:val="24"/>
              </w:rPr>
              <w:t>145 668</w:t>
            </w:r>
          </w:p>
        </w:tc>
        <w:tc>
          <w:tcPr>
            <w:tcW w:w="1276" w:type="dxa"/>
            <w:shd w:val="clear" w:color="auto" w:fill="auto"/>
            <w:noWrap/>
            <w:hideMark/>
          </w:tcPr>
          <w:p w:rsidR="00BC651F" w:rsidRPr="00027721" w:rsidRDefault="00BC651F" w:rsidP="000807BF">
            <w:pPr>
              <w:pStyle w:val="Text"/>
              <w:jc w:val="center"/>
              <w:rPr>
                <w:szCs w:val="24"/>
              </w:rPr>
            </w:pPr>
            <w:r w:rsidRPr="00027721">
              <w:rPr>
                <w:szCs w:val="24"/>
              </w:rPr>
              <w:t>0</w:t>
            </w:r>
          </w:p>
        </w:tc>
        <w:tc>
          <w:tcPr>
            <w:tcW w:w="1213" w:type="dxa"/>
            <w:tcBorders>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2</w:t>
            </w:r>
          </w:p>
        </w:tc>
      </w:tr>
      <w:tr w:rsidR="00BC651F" w:rsidRPr="00012A61" w:rsidTr="000807BF">
        <w:trPr>
          <w:trHeight w:val="270"/>
          <w:jc w:val="center"/>
        </w:trPr>
        <w:tc>
          <w:tcPr>
            <w:tcW w:w="2350" w:type="dxa"/>
            <w:tcBorders>
              <w:left w:val="single" w:sz="12" w:space="0" w:color="auto"/>
              <w:bottom w:val="single" w:sz="12" w:space="0" w:color="auto"/>
              <w:right w:val="single" w:sz="12" w:space="0" w:color="auto"/>
            </w:tcBorders>
            <w:shd w:val="clear" w:color="auto" w:fill="auto"/>
            <w:noWrap/>
            <w:hideMark/>
          </w:tcPr>
          <w:p w:rsidR="00BC651F" w:rsidRPr="00027721" w:rsidRDefault="00BC651F" w:rsidP="000807BF">
            <w:pPr>
              <w:pStyle w:val="Text"/>
              <w:rPr>
                <w:szCs w:val="24"/>
              </w:rPr>
            </w:pPr>
            <w:r w:rsidRPr="00027721">
              <w:rPr>
                <w:rFonts w:eastAsia="Calibri"/>
                <w:szCs w:val="24"/>
              </w:rPr>
              <w:t>Košický</w:t>
            </w:r>
          </w:p>
        </w:tc>
        <w:tc>
          <w:tcPr>
            <w:tcW w:w="992" w:type="dxa"/>
            <w:tcBorders>
              <w:left w:val="single" w:sz="12" w:space="0" w:color="auto"/>
              <w:bottom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134</w:t>
            </w:r>
          </w:p>
        </w:tc>
        <w:tc>
          <w:tcPr>
            <w:tcW w:w="1701" w:type="dxa"/>
            <w:tcBorders>
              <w:bottom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374 087 800</w:t>
            </w:r>
          </w:p>
        </w:tc>
        <w:tc>
          <w:tcPr>
            <w:tcW w:w="1418" w:type="dxa"/>
            <w:tcBorders>
              <w:bottom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12 417 440</w:t>
            </w:r>
          </w:p>
        </w:tc>
        <w:tc>
          <w:tcPr>
            <w:tcW w:w="1276" w:type="dxa"/>
            <w:tcBorders>
              <w:bottom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6</w:t>
            </w:r>
          </w:p>
        </w:tc>
        <w:tc>
          <w:tcPr>
            <w:tcW w:w="1213" w:type="dxa"/>
            <w:tcBorders>
              <w:bottom w:val="single" w:sz="12" w:space="0" w:color="auto"/>
              <w:right w:val="single" w:sz="12" w:space="0" w:color="auto"/>
            </w:tcBorders>
            <w:shd w:val="clear" w:color="auto" w:fill="auto"/>
            <w:noWrap/>
            <w:hideMark/>
          </w:tcPr>
          <w:p w:rsidR="00BC651F" w:rsidRPr="00027721" w:rsidRDefault="00BC651F" w:rsidP="000807BF">
            <w:pPr>
              <w:pStyle w:val="Text"/>
              <w:jc w:val="center"/>
              <w:rPr>
                <w:szCs w:val="24"/>
              </w:rPr>
            </w:pPr>
            <w:r w:rsidRPr="00027721">
              <w:rPr>
                <w:szCs w:val="24"/>
              </w:rPr>
              <w:t>1</w:t>
            </w:r>
          </w:p>
        </w:tc>
      </w:tr>
      <w:tr w:rsidR="00BC651F" w:rsidRPr="00012A61" w:rsidTr="000807BF">
        <w:trPr>
          <w:trHeight w:val="270"/>
          <w:jc w:val="center"/>
        </w:trPr>
        <w:tc>
          <w:tcPr>
            <w:tcW w:w="2350" w:type="dxa"/>
            <w:tcBorders>
              <w:top w:val="single" w:sz="12" w:space="0" w:color="auto"/>
              <w:left w:val="single" w:sz="12" w:space="0" w:color="auto"/>
              <w:bottom w:val="single" w:sz="12" w:space="0" w:color="auto"/>
              <w:right w:val="single" w:sz="12" w:space="0" w:color="auto"/>
            </w:tcBorders>
            <w:shd w:val="clear" w:color="auto" w:fill="auto"/>
            <w:noWrap/>
            <w:hideMark/>
          </w:tcPr>
          <w:p w:rsidR="00BC651F" w:rsidRPr="00027721" w:rsidRDefault="00BC651F" w:rsidP="000807BF">
            <w:pPr>
              <w:pStyle w:val="Text"/>
              <w:rPr>
                <w:b/>
                <w:bCs/>
                <w:szCs w:val="24"/>
              </w:rPr>
            </w:pPr>
            <w:r w:rsidRPr="00027721">
              <w:rPr>
                <w:b/>
                <w:bCs/>
                <w:szCs w:val="24"/>
              </w:rPr>
              <w:t>Together</w:t>
            </w:r>
          </w:p>
        </w:tc>
        <w:tc>
          <w:tcPr>
            <w:tcW w:w="992" w:type="dxa"/>
            <w:tcBorders>
              <w:top w:val="single" w:sz="12" w:space="0" w:color="auto"/>
              <w:left w:val="single" w:sz="12" w:space="0" w:color="auto"/>
              <w:bottom w:val="single" w:sz="12" w:space="0" w:color="auto"/>
            </w:tcBorders>
            <w:shd w:val="clear" w:color="auto" w:fill="auto"/>
            <w:noWrap/>
            <w:hideMark/>
          </w:tcPr>
          <w:p w:rsidR="00BC651F" w:rsidRPr="00027721" w:rsidRDefault="00BC651F" w:rsidP="000807BF">
            <w:pPr>
              <w:pStyle w:val="Text"/>
              <w:jc w:val="center"/>
              <w:rPr>
                <w:b/>
                <w:bCs/>
                <w:szCs w:val="24"/>
              </w:rPr>
            </w:pPr>
            <w:r w:rsidRPr="00027721">
              <w:rPr>
                <w:b/>
                <w:bCs/>
                <w:szCs w:val="24"/>
              </w:rPr>
              <w:t>824</w:t>
            </w:r>
          </w:p>
        </w:tc>
        <w:tc>
          <w:tcPr>
            <w:tcW w:w="1701" w:type="dxa"/>
            <w:tcBorders>
              <w:top w:val="single" w:sz="12" w:space="0" w:color="auto"/>
              <w:bottom w:val="single" w:sz="12" w:space="0" w:color="auto"/>
            </w:tcBorders>
            <w:shd w:val="clear" w:color="auto" w:fill="auto"/>
            <w:noWrap/>
            <w:hideMark/>
          </w:tcPr>
          <w:p w:rsidR="00BC651F" w:rsidRPr="00027721" w:rsidRDefault="00BC651F" w:rsidP="000807BF">
            <w:pPr>
              <w:pStyle w:val="Text"/>
              <w:jc w:val="center"/>
              <w:rPr>
                <w:b/>
                <w:bCs/>
                <w:szCs w:val="24"/>
              </w:rPr>
            </w:pPr>
            <w:r w:rsidRPr="00027721">
              <w:rPr>
                <w:b/>
                <w:bCs/>
                <w:szCs w:val="24"/>
              </w:rPr>
              <w:t>385 147 400</w:t>
            </w:r>
          </w:p>
        </w:tc>
        <w:tc>
          <w:tcPr>
            <w:tcW w:w="1418" w:type="dxa"/>
            <w:tcBorders>
              <w:top w:val="single" w:sz="12" w:space="0" w:color="auto"/>
              <w:bottom w:val="single" w:sz="12" w:space="0" w:color="auto"/>
            </w:tcBorders>
            <w:shd w:val="clear" w:color="auto" w:fill="auto"/>
            <w:noWrap/>
            <w:hideMark/>
          </w:tcPr>
          <w:p w:rsidR="00BC651F" w:rsidRPr="00027721" w:rsidRDefault="00BC651F" w:rsidP="000807BF">
            <w:pPr>
              <w:pStyle w:val="Text"/>
              <w:jc w:val="center"/>
              <w:rPr>
                <w:b/>
                <w:bCs/>
                <w:szCs w:val="24"/>
              </w:rPr>
            </w:pPr>
            <w:r w:rsidRPr="00027721">
              <w:rPr>
                <w:b/>
                <w:bCs/>
                <w:szCs w:val="24"/>
              </w:rPr>
              <w:t>12 784 552</w:t>
            </w:r>
          </w:p>
        </w:tc>
        <w:tc>
          <w:tcPr>
            <w:tcW w:w="1276" w:type="dxa"/>
            <w:tcBorders>
              <w:top w:val="single" w:sz="12" w:space="0" w:color="auto"/>
              <w:bottom w:val="single" w:sz="12" w:space="0" w:color="auto"/>
            </w:tcBorders>
            <w:shd w:val="clear" w:color="auto" w:fill="auto"/>
            <w:noWrap/>
            <w:hideMark/>
          </w:tcPr>
          <w:p w:rsidR="00BC651F" w:rsidRPr="00027721" w:rsidRDefault="00BC651F" w:rsidP="000807BF">
            <w:pPr>
              <w:pStyle w:val="Text"/>
              <w:jc w:val="center"/>
              <w:rPr>
                <w:b/>
                <w:bCs/>
                <w:szCs w:val="24"/>
              </w:rPr>
            </w:pPr>
            <w:r w:rsidRPr="00027721">
              <w:rPr>
                <w:b/>
                <w:bCs/>
                <w:szCs w:val="24"/>
              </w:rPr>
              <w:t>6</w:t>
            </w:r>
          </w:p>
        </w:tc>
        <w:tc>
          <w:tcPr>
            <w:tcW w:w="1213" w:type="dxa"/>
            <w:tcBorders>
              <w:top w:val="single" w:sz="12" w:space="0" w:color="auto"/>
              <w:bottom w:val="single" w:sz="12" w:space="0" w:color="auto"/>
              <w:right w:val="single" w:sz="12" w:space="0" w:color="auto"/>
            </w:tcBorders>
            <w:shd w:val="clear" w:color="auto" w:fill="auto"/>
            <w:noWrap/>
            <w:hideMark/>
          </w:tcPr>
          <w:p w:rsidR="00BC651F" w:rsidRPr="00027721" w:rsidRDefault="00BC651F" w:rsidP="000807BF">
            <w:pPr>
              <w:pStyle w:val="Text"/>
              <w:jc w:val="center"/>
              <w:rPr>
                <w:b/>
                <w:bCs/>
                <w:szCs w:val="24"/>
              </w:rPr>
            </w:pPr>
            <w:r w:rsidRPr="00027721">
              <w:rPr>
                <w:b/>
                <w:bCs/>
                <w:szCs w:val="24"/>
              </w:rPr>
              <w:t>7</w:t>
            </w:r>
          </w:p>
        </w:tc>
      </w:tr>
    </w:tbl>
    <w:p w:rsidR="00BC651F" w:rsidRPr="00012A61" w:rsidRDefault="00BC651F" w:rsidP="00BC651F">
      <w:pPr>
        <w:pStyle w:val="Text"/>
        <w:widowControl/>
        <w:ind w:firstLine="357"/>
        <w:rPr>
          <w:szCs w:val="24"/>
        </w:rPr>
      </w:pPr>
    </w:p>
    <w:p w:rsidR="00BC651F" w:rsidRPr="00012A61" w:rsidRDefault="00BC651F" w:rsidP="00BC651F">
      <w:pPr>
        <w:pStyle w:val="Text"/>
        <w:keepNext/>
        <w:widowControl/>
        <w:jc w:val="center"/>
      </w:pPr>
      <w:r w:rsidRPr="00012A61">
        <w:object w:dxaOrig="9071" w:dyaOrig="6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36.2pt" o:ole="">
            <v:imagedata r:id="rId8" o:title=""/>
          </v:shape>
          <o:OLEObject Type="Embed" ProgID="STATISTICA.Graph" ShapeID="_x0000_i1025" DrawAspect="Content" ObjectID="_1729602541" r:id="rId9">
            <o:FieldCodes>\s</o:FieldCodes>
          </o:OLEObject>
        </w:object>
      </w:r>
    </w:p>
    <w:p w:rsidR="00BC651F" w:rsidRPr="00012A61" w:rsidRDefault="00BC651F" w:rsidP="00BC651F">
      <w:pPr>
        <w:pStyle w:val="Popis"/>
        <w:spacing w:after="120" w:line="240" w:lineRule="auto"/>
        <w:jc w:val="center"/>
        <w:rPr>
          <w:rFonts w:ascii="Times New Roman" w:hAnsi="Times New Roman"/>
          <w:lang w:val="en-GB"/>
        </w:rPr>
      </w:pPr>
      <w:r>
        <w:rPr>
          <w:rFonts w:ascii="Times New Roman" w:hAnsi="Times New Roman"/>
          <w:lang w:val="en-GB"/>
        </w:rPr>
        <w:t>Obr.</w:t>
      </w:r>
      <w:r w:rsidRPr="00012A61">
        <w:rPr>
          <w:rFonts w:ascii="Times New Roman" w:hAnsi="Times New Roman"/>
          <w:lang w:val="en-GB"/>
        </w:rPr>
        <w:t xml:space="preserve"> 1 The temperature dependence of ignition wood dust from the sample and air pressure</w:t>
      </w:r>
    </w:p>
    <w:p w:rsidR="00F90D77" w:rsidRDefault="00F90D77" w:rsidP="00A32234">
      <w:pPr>
        <w:pStyle w:val="Text"/>
        <w:widowControl/>
        <w:ind w:firstLine="357"/>
      </w:pPr>
    </w:p>
    <w:p w:rsidR="00B73DB8" w:rsidRPr="00B73DB8" w:rsidRDefault="00B73DB8" w:rsidP="00F90D77">
      <w:pPr>
        <w:pStyle w:val="Text"/>
        <w:keepNext/>
        <w:widowControl/>
        <w:spacing w:before="240"/>
        <w:rPr>
          <w:b/>
          <w:caps/>
        </w:rPr>
      </w:pPr>
      <w:r w:rsidRPr="00F90D77">
        <w:rPr>
          <w:b/>
          <w:caps/>
        </w:rPr>
        <w:t>ZÁVER</w:t>
      </w:r>
    </w:p>
    <w:p w:rsidR="00B73DB8" w:rsidRDefault="00B73DB8" w:rsidP="00A32234">
      <w:pPr>
        <w:pStyle w:val="Text"/>
        <w:widowControl/>
        <w:ind w:firstLine="357"/>
      </w:pPr>
      <w:r>
        <w:t>Z článku vyplýva, že zmeny stavieb podľa STN 73 0834, je možné riešiť požiadavky protipožiarnej bezpečnosti len tých stavieb, ktoré boli skolaudované alebo projekt stavby bol dokončený podľa hore uvedených dátumov...</w:t>
      </w:r>
    </w:p>
    <w:p w:rsidR="00E46A8E" w:rsidRPr="00B73DB8" w:rsidRDefault="00B73DB8" w:rsidP="00F90D77">
      <w:pPr>
        <w:pStyle w:val="Text"/>
        <w:keepNext/>
        <w:widowControl/>
        <w:spacing w:before="240"/>
        <w:rPr>
          <w:b/>
          <w:caps/>
        </w:rPr>
      </w:pPr>
      <w:r w:rsidRPr="00F90D77">
        <w:rPr>
          <w:b/>
          <w:caps/>
        </w:rPr>
        <w:lastRenderedPageBreak/>
        <w:t>ZOZNAM</w:t>
      </w:r>
      <w:r w:rsidRPr="00B73DB8">
        <w:rPr>
          <w:b/>
          <w:caps/>
        </w:rPr>
        <w:t xml:space="preserve"> POUŽITEJ LITERATÚRY</w:t>
      </w:r>
    </w:p>
    <w:p w:rsidR="00B73DB8" w:rsidRPr="00BC651F" w:rsidRDefault="00B73DB8" w:rsidP="00A32234">
      <w:pPr>
        <w:pStyle w:val="Literatura"/>
        <w:numPr>
          <w:ilvl w:val="0"/>
          <w:numId w:val="0"/>
        </w:numPr>
        <w:ind w:left="357" w:hanging="357"/>
        <w:rPr>
          <w:sz w:val="24"/>
          <w:szCs w:val="24"/>
        </w:rPr>
      </w:pPr>
      <w:r w:rsidRPr="00BC651F">
        <w:rPr>
          <w:sz w:val="24"/>
          <w:szCs w:val="24"/>
        </w:rPr>
        <w:t>Príloha I nariadenia Európskeho parlamentu a Rady (EÚ) č. 305/2011 z 9. marca 2011, ktorým sa ustanovujú harmonizované podmienky uvádzania stavebných výrobkov na trh a ktorým sa zrušuje smernica Rady 89/106/EHS (Ú. v. EÚ L 88, 4. 4. 2011).</w:t>
      </w:r>
    </w:p>
    <w:p w:rsidR="00DD112D" w:rsidRPr="00BC651F" w:rsidRDefault="00DD112D" w:rsidP="00A32234">
      <w:pPr>
        <w:pStyle w:val="Literatura"/>
        <w:numPr>
          <w:ilvl w:val="0"/>
          <w:numId w:val="0"/>
        </w:numPr>
        <w:ind w:left="357" w:hanging="357"/>
        <w:rPr>
          <w:sz w:val="24"/>
          <w:szCs w:val="24"/>
        </w:rPr>
      </w:pPr>
      <w:r w:rsidRPr="00BC651F">
        <w:rPr>
          <w:sz w:val="24"/>
          <w:szCs w:val="24"/>
        </w:rPr>
        <w:t xml:space="preserve">SUJA, M. Reglement po požiari. In: </w:t>
      </w:r>
      <w:r w:rsidRPr="00BC651F">
        <w:rPr>
          <w:i/>
          <w:sz w:val="24"/>
          <w:szCs w:val="24"/>
        </w:rPr>
        <w:t>Teória a prax vyšetrovania - interdisciplinárne aspekty : Zborník vedeckých prác</w:t>
      </w:r>
      <w:r w:rsidRPr="00BC651F">
        <w:rPr>
          <w:sz w:val="24"/>
          <w:szCs w:val="24"/>
        </w:rPr>
        <w:t xml:space="preserve">. Bratislava: Akadémia PZ, 2017. ISBN </w:t>
      </w:r>
      <w:r w:rsidR="00BC651F">
        <w:rPr>
          <w:sz w:val="24"/>
          <w:szCs w:val="24"/>
        </w:rPr>
        <w:t>978-80-8054-709-7. s. </w:t>
      </w:r>
      <w:r w:rsidRPr="00BC651F">
        <w:rPr>
          <w:sz w:val="24"/>
          <w:szCs w:val="24"/>
        </w:rPr>
        <w:t>243-252.</w:t>
      </w:r>
    </w:p>
    <w:p w:rsidR="00DD112D" w:rsidRPr="00BC651F" w:rsidRDefault="00DD112D" w:rsidP="00DD112D">
      <w:pPr>
        <w:pStyle w:val="Literatura"/>
        <w:numPr>
          <w:ilvl w:val="0"/>
          <w:numId w:val="0"/>
        </w:numPr>
        <w:ind w:left="357" w:hanging="357"/>
        <w:rPr>
          <w:sz w:val="24"/>
          <w:szCs w:val="24"/>
        </w:rPr>
      </w:pPr>
      <w:r w:rsidRPr="00BC651F">
        <w:rPr>
          <w:sz w:val="24"/>
          <w:szCs w:val="24"/>
        </w:rPr>
        <w:t>STN 73 0834 Požiarna bezpečnosť stavieb. Zmeny stavieb.</w:t>
      </w:r>
    </w:p>
    <w:p w:rsidR="00E46A8E" w:rsidRPr="00B73DB8" w:rsidRDefault="00E46A8E" w:rsidP="00F90D77">
      <w:pPr>
        <w:pStyle w:val="Text"/>
        <w:keepNext/>
        <w:widowControl/>
        <w:spacing w:before="240"/>
        <w:rPr>
          <w:b/>
          <w:caps/>
        </w:rPr>
      </w:pPr>
      <w:r w:rsidRPr="00F90D77">
        <w:rPr>
          <w:b/>
          <w:caps/>
        </w:rPr>
        <w:t>Adresa</w:t>
      </w:r>
    </w:p>
    <w:p w:rsidR="00E46A8E" w:rsidRPr="003319DA" w:rsidRDefault="00B73DB8" w:rsidP="00F90D77">
      <w:pPr>
        <w:pStyle w:val="Text"/>
        <w:widowControl/>
      </w:pPr>
      <w:r>
        <w:t>mjr</w:t>
      </w:r>
      <w:r w:rsidR="00E46A8E" w:rsidRPr="003319DA">
        <w:t xml:space="preserve">. Ing. Marian </w:t>
      </w:r>
      <w:r w:rsidR="00A539AB" w:rsidRPr="003319DA">
        <w:t>SUJA</w:t>
      </w:r>
      <w:r>
        <w:t>, PhD.</w:t>
      </w:r>
    </w:p>
    <w:p w:rsidR="00E46A8E" w:rsidRPr="003319DA" w:rsidRDefault="00E46A8E" w:rsidP="00F90D77">
      <w:pPr>
        <w:pStyle w:val="Text"/>
        <w:widowControl/>
      </w:pPr>
      <w:r w:rsidRPr="003319DA">
        <w:t xml:space="preserve">Akadémia Policajného zboru </w:t>
      </w:r>
      <w:r w:rsidR="00121C24">
        <w:t xml:space="preserve">v </w:t>
      </w:r>
      <w:r w:rsidRPr="003319DA">
        <w:t>Brati</w:t>
      </w:r>
      <w:r w:rsidR="00121C24">
        <w:t>slave</w:t>
      </w:r>
    </w:p>
    <w:p w:rsidR="00E46A8E" w:rsidRPr="003319DA" w:rsidRDefault="00E46A8E" w:rsidP="00F90D77">
      <w:pPr>
        <w:pStyle w:val="Text"/>
        <w:widowControl/>
      </w:pPr>
      <w:r w:rsidRPr="003319DA">
        <w:t xml:space="preserve">Katedra </w:t>
      </w:r>
      <w:r w:rsidR="00B73DB8" w:rsidRPr="003319DA">
        <w:t>verejnej správ</w:t>
      </w:r>
      <w:r w:rsidR="00B73DB8">
        <w:t xml:space="preserve">e </w:t>
      </w:r>
      <w:r>
        <w:t xml:space="preserve">krízového manažmentu </w:t>
      </w:r>
    </w:p>
    <w:p w:rsidR="00E46A8E" w:rsidRPr="003319DA" w:rsidRDefault="00E46A8E" w:rsidP="00F90D77">
      <w:pPr>
        <w:pStyle w:val="Text"/>
        <w:widowControl/>
      </w:pPr>
      <w:r w:rsidRPr="003319DA">
        <w:t>Sklabinská 1</w:t>
      </w:r>
      <w:r w:rsidR="00A32234">
        <w:t xml:space="preserve">, </w:t>
      </w:r>
      <w:r w:rsidRPr="003319DA">
        <w:t>835 17</w:t>
      </w:r>
      <w:r>
        <w:t xml:space="preserve"> </w:t>
      </w:r>
      <w:r w:rsidRPr="003319DA">
        <w:t>Bratislava</w:t>
      </w:r>
    </w:p>
    <w:p w:rsidR="00E50A3B" w:rsidRDefault="00E46A8E" w:rsidP="00F90D77">
      <w:pPr>
        <w:pStyle w:val="Text"/>
        <w:widowControl/>
      </w:pPr>
      <w:r w:rsidRPr="003319DA">
        <w:t>Tel.: 09610 57</w:t>
      </w:r>
      <w:r w:rsidR="00A32234">
        <w:t> </w:t>
      </w:r>
      <w:r w:rsidRPr="003319DA">
        <w:t>069</w:t>
      </w:r>
      <w:r w:rsidR="00A32234">
        <w:t xml:space="preserve">, </w:t>
      </w:r>
      <w:hyperlink r:id="rId10" w:history="1">
        <w:r w:rsidR="0027377C" w:rsidRPr="008C7232">
          <w:rPr>
            <w:rStyle w:val="Hypertextovprepojenie"/>
          </w:rPr>
          <w:t>marian.suja@minv.sk</w:t>
        </w:r>
      </w:hyperlink>
    </w:p>
    <w:p w:rsidR="0027377C" w:rsidRDefault="0027377C" w:rsidP="00F90D77">
      <w:pPr>
        <w:pStyle w:val="Text"/>
        <w:widowControl/>
      </w:pPr>
      <w:r>
        <w:t>Orcid: 0000-0001-2345-6789</w:t>
      </w:r>
    </w:p>
    <w:p w:rsidR="0027377C" w:rsidRDefault="0027377C" w:rsidP="00F90D77">
      <w:pPr>
        <w:pStyle w:val="Text"/>
        <w:widowControl/>
      </w:pPr>
      <w:r>
        <w:t>Scopus: 01122334455</w:t>
      </w:r>
      <w:bookmarkStart w:id="0" w:name="_GoBack"/>
      <w:bookmarkEnd w:id="0"/>
    </w:p>
    <w:p w:rsidR="0027377C" w:rsidRDefault="0027377C" w:rsidP="00F90D77">
      <w:pPr>
        <w:pStyle w:val="Text"/>
        <w:widowControl/>
      </w:pPr>
    </w:p>
    <w:sectPr w:rsidR="002737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49" w:rsidRDefault="002C1949">
      <w:r>
        <w:separator/>
      </w:r>
    </w:p>
  </w:endnote>
  <w:endnote w:type="continuationSeparator" w:id="0">
    <w:p w:rsidR="002C1949" w:rsidRDefault="002C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49" w:rsidRDefault="002C1949">
      <w:r>
        <w:separator/>
      </w:r>
    </w:p>
  </w:footnote>
  <w:footnote w:type="continuationSeparator" w:id="0">
    <w:p w:rsidR="002C1949" w:rsidRDefault="002C1949">
      <w:r>
        <w:continuationSeparator/>
      </w:r>
    </w:p>
  </w:footnote>
  <w:footnote w:id="1">
    <w:p w:rsidR="00DD112D" w:rsidRDefault="00DD112D">
      <w:pPr>
        <w:pStyle w:val="Textpoznmkypodiarou"/>
      </w:pPr>
      <w:r>
        <w:rPr>
          <w:rStyle w:val="Odkaznapoznmkupodiarou"/>
        </w:rPr>
        <w:footnoteRef/>
      </w:r>
      <w:r>
        <w:t xml:space="preserve"> </w:t>
      </w:r>
      <w:r w:rsidRPr="00DD112D">
        <w:t>SUJA</w:t>
      </w:r>
      <w:r>
        <w:t>, M.</w:t>
      </w:r>
      <w:r w:rsidRPr="00DD112D">
        <w:t xml:space="preserve"> Reglement po požiari. In: Teória a prax vyšetrovania - interdisciplinárne asp</w:t>
      </w:r>
      <w:r>
        <w:t xml:space="preserve">ekty : Zborník vedeckých prác. </w:t>
      </w:r>
      <w:r w:rsidRPr="00DD112D">
        <w:t>Bratislava</w:t>
      </w:r>
      <w:r>
        <w:t>: Akadémia PZ</w:t>
      </w:r>
      <w:r w:rsidRPr="00DD112D">
        <w:t>, 2017. ISBN 978-80-8054-709-7. s. 243-252</w:t>
      </w:r>
      <w:r>
        <w:t>.</w:t>
      </w:r>
    </w:p>
  </w:footnote>
  <w:footnote w:id="2">
    <w:p w:rsidR="00D11418" w:rsidRDefault="00D11418" w:rsidP="00B73DB8">
      <w:pPr>
        <w:pStyle w:val="Textpoznmkypodiarou"/>
        <w:jc w:val="both"/>
      </w:pPr>
      <w:r>
        <w:rPr>
          <w:rStyle w:val="Odkaznapoznmkupodiarou"/>
        </w:rPr>
        <w:footnoteRef/>
      </w:r>
      <w:r>
        <w:t xml:space="preserve"> </w:t>
      </w:r>
      <w:r w:rsidR="00B73DB8" w:rsidRPr="00B73DB8">
        <w:t>STN 73 0834 Požiarna bezpečnosť stavieb. Zmeny stavieb.</w:t>
      </w:r>
    </w:p>
  </w:footnote>
  <w:footnote w:id="3">
    <w:p w:rsidR="00B73DB8" w:rsidRDefault="00B73DB8" w:rsidP="00B73DB8">
      <w:pPr>
        <w:pStyle w:val="Textpoznmkypodiarou"/>
        <w:jc w:val="both"/>
      </w:pPr>
      <w:r>
        <w:rPr>
          <w:rStyle w:val="Odkaznapoznmkupodiarou"/>
        </w:rPr>
        <w:footnoteRef/>
      </w:r>
      <w:r>
        <w:t xml:space="preserve"> </w:t>
      </w:r>
      <w:r w:rsidRPr="00B73DB8">
        <w:t>Príloha I nariadenia Európskeho parlamentu a Rady (EÚ) č. 305/2011 z 9. marca 2011, ktorým sa ustanovujú harmonizované podmienky uvádzania stavebných výrobkov na trh a ktorým sa zrušuje smernica Rady 89/106/EHS (Ú. v. EÚ L 88, 4. 4.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12BAD"/>
    <w:multiLevelType w:val="hybridMultilevel"/>
    <w:tmpl w:val="9A9E1BA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3ED22E86"/>
    <w:multiLevelType w:val="hybridMultilevel"/>
    <w:tmpl w:val="1D6C2D5A"/>
    <w:lvl w:ilvl="0" w:tplc="041B000F">
      <w:start w:val="1"/>
      <w:numFmt w:val="decimal"/>
      <w:lvlText w:val="%1."/>
      <w:lvlJc w:val="left"/>
      <w:pPr>
        <w:tabs>
          <w:tab w:val="num" w:pos="1260"/>
        </w:tabs>
        <w:ind w:left="126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2" w15:restartNumberingAfterBreak="0">
    <w:nsid w:val="699F36D8"/>
    <w:multiLevelType w:val="hybridMultilevel"/>
    <w:tmpl w:val="F7926822"/>
    <w:lvl w:ilvl="0" w:tplc="53E83BFA">
      <w:start w:val="1"/>
      <w:numFmt w:val="decimal"/>
      <w:pStyle w:val="Literatura"/>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A2"/>
    <w:rsid w:val="00062403"/>
    <w:rsid w:val="000B131A"/>
    <w:rsid w:val="00115E7D"/>
    <w:rsid w:val="00121C24"/>
    <w:rsid w:val="00155AB2"/>
    <w:rsid w:val="00193C3C"/>
    <w:rsid w:val="00265F1A"/>
    <w:rsid w:val="0027377C"/>
    <w:rsid w:val="002C1949"/>
    <w:rsid w:val="00307F6A"/>
    <w:rsid w:val="0031308E"/>
    <w:rsid w:val="00466C7A"/>
    <w:rsid w:val="00551D8F"/>
    <w:rsid w:val="00552953"/>
    <w:rsid w:val="00637446"/>
    <w:rsid w:val="006839B1"/>
    <w:rsid w:val="00692530"/>
    <w:rsid w:val="006B14AA"/>
    <w:rsid w:val="0077544A"/>
    <w:rsid w:val="00A32234"/>
    <w:rsid w:val="00A539AB"/>
    <w:rsid w:val="00B210E8"/>
    <w:rsid w:val="00B73DB8"/>
    <w:rsid w:val="00BC651F"/>
    <w:rsid w:val="00BF558A"/>
    <w:rsid w:val="00C8243F"/>
    <w:rsid w:val="00D040B4"/>
    <w:rsid w:val="00D11418"/>
    <w:rsid w:val="00DD112D"/>
    <w:rsid w:val="00E46A8E"/>
    <w:rsid w:val="00E50A3B"/>
    <w:rsid w:val="00E60A44"/>
    <w:rsid w:val="00EA4673"/>
    <w:rsid w:val="00F0647B"/>
    <w:rsid w:val="00F45EA2"/>
    <w:rsid w:val="00F90D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92E4"/>
  <w15:docId w15:val="{071C5124-B7EA-4CBC-B440-B1AA81EA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6A8E"/>
    <w:rPr>
      <w:sz w:val="24"/>
      <w:szCs w:val="24"/>
      <w:lang w:eastAsia="cs-CZ"/>
    </w:rPr>
  </w:style>
  <w:style w:type="paragraph" w:styleId="Nadpis2">
    <w:name w:val="heading 2"/>
    <w:basedOn w:val="Normlny"/>
    <w:next w:val="Normlny"/>
    <w:qFormat/>
    <w:rsid w:val="00E46A8E"/>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E46A8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kt">
    <w:name w:val="Abstrakt"/>
    <w:basedOn w:val="Normlny"/>
    <w:rsid w:val="0031308E"/>
    <w:pPr>
      <w:widowControl w:val="0"/>
      <w:snapToGrid w:val="0"/>
      <w:spacing w:line="192" w:lineRule="atLeast"/>
      <w:ind w:left="567" w:right="465"/>
      <w:jc w:val="both"/>
    </w:pPr>
    <w:rPr>
      <w:i/>
      <w:sz w:val="20"/>
      <w:szCs w:val="20"/>
      <w:lang w:val="en-US"/>
    </w:rPr>
  </w:style>
  <w:style w:type="paragraph" w:customStyle="1" w:styleId="Autor">
    <w:name w:val="Autor"/>
    <w:basedOn w:val="Nadpis3"/>
    <w:rsid w:val="00E46A8E"/>
    <w:pPr>
      <w:spacing w:before="400" w:after="400"/>
      <w:jc w:val="center"/>
    </w:pPr>
    <w:rPr>
      <w:rFonts w:ascii="Times New Roman" w:hAnsi="Times New Roman" w:cs="Times New Roman"/>
      <w:b w:val="0"/>
      <w:bCs w:val="0"/>
      <w:sz w:val="24"/>
      <w:szCs w:val="20"/>
    </w:rPr>
  </w:style>
  <w:style w:type="paragraph" w:customStyle="1" w:styleId="Text">
    <w:name w:val="Text"/>
    <w:basedOn w:val="Normlny"/>
    <w:rsid w:val="00E46A8E"/>
    <w:pPr>
      <w:widowControl w:val="0"/>
      <w:jc w:val="both"/>
    </w:pPr>
    <w:rPr>
      <w:szCs w:val="20"/>
    </w:rPr>
  </w:style>
  <w:style w:type="paragraph" w:customStyle="1" w:styleId="Napdis3">
    <w:name w:val="Napdis_3"/>
    <w:basedOn w:val="Normlny"/>
    <w:rsid w:val="00E46A8E"/>
    <w:pPr>
      <w:widowControl w:val="0"/>
      <w:jc w:val="center"/>
    </w:pPr>
    <w:rPr>
      <w:sz w:val="20"/>
      <w:szCs w:val="20"/>
    </w:rPr>
  </w:style>
  <w:style w:type="paragraph" w:customStyle="1" w:styleId="Nadpis20">
    <w:name w:val="Nadpis_2"/>
    <w:basedOn w:val="Nadpis2"/>
    <w:rsid w:val="00E46A8E"/>
    <w:pPr>
      <w:widowControl w:val="0"/>
      <w:snapToGrid w:val="0"/>
      <w:spacing w:after="80"/>
      <w:jc w:val="both"/>
    </w:pPr>
    <w:rPr>
      <w:rFonts w:ascii="Times New Roman" w:hAnsi="Times New Roman" w:cs="Times New Roman"/>
      <w:bCs w:val="0"/>
      <w:i w:val="0"/>
      <w:iCs w:val="0"/>
      <w:sz w:val="24"/>
      <w:szCs w:val="20"/>
      <w:lang w:val="en-US"/>
    </w:rPr>
  </w:style>
  <w:style w:type="paragraph" w:customStyle="1" w:styleId="Literatura">
    <w:name w:val="Literatura"/>
    <w:rsid w:val="0031308E"/>
    <w:pPr>
      <w:numPr>
        <w:numId w:val="2"/>
      </w:numPr>
      <w:jc w:val="both"/>
    </w:pPr>
  </w:style>
  <w:style w:type="paragraph" w:customStyle="1" w:styleId="Nazov">
    <w:name w:val="Nazov"/>
    <w:basedOn w:val="Normlny"/>
    <w:rsid w:val="00E46A8E"/>
    <w:pPr>
      <w:jc w:val="center"/>
      <w:outlineLvl w:val="0"/>
    </w:pPr>
    <w:rPr>
      <w:b/>
      <w:smallCaps/>
      <w:sz w:val="28"/>
    </w:rPr>
  </w:style>
  <w:style w:type="paragraph" w:styleId="Textpoznmkypodiarou">
    <w:name w:val="footnote text"/>
    <w:basedOn w:val="Normlny"/>
    <w:semiHidden/>
    <w:rsid w:val="00E46A8E"/>
    <w:rPr>
      <w:sz w:val="20"/>
      <w:szCs w:val="20"/>
    </w:rPr>
  </w:style>
  <w:style w:type="character" w:styleId="Odkaznapoznmkupodiarou">
    <w:name w:val="footnote reference"/>
    <w:semiHidden/>
    <w:rsid w:val="00E46A8E"/>
    <w:rPr>
      <w:vertAlign w:val="superscript"/>
    </w:rPr>
  </w:style>
  <w:style w:type="paragraph" w:styleId="Popis">
    <w:name w:val="caption"/>
    <w:basedOn w:val="Normlny"/>
    <w:next w:val="Normlny"/>
    <w:uiPriority w:val="35"/>
    <w:unhideWhenUsed/>
    <w:qFormat/>
    <w:rsid w:val="00BC651F"/>
    <w:pPr>
      <w:spacing w:after="200" w:line="276" w:lineRule="auto"/>
    </w:pPr>
    <w:rPr>
      <w:rFonts w:ascii="Calibri" w:eastAsia="Calibri" w:hAnsi="Calibri"/>
      <w:b/>
      <w:bCs/>
      <w:sz w:val="20"/>
      <w:szCs w:val="20"/>
      <w:lang w:eastAsia="en-US"/>
    </w:rPr>
  </w:style>
  <w:style w:type="character" w:styleId="Hypertextovprepojenie">
    <w:name w:val="Hyperlink"/>
    <w:basedOn w:val="Predvolenpsmoodseku"/>
    <w:unhideWhenUsed/>
    <w:rsid w:val="00273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an.suja@minv.s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a\Documents\ACADEMY\CONFERENCES\CICA%20LVII\VzorPr&#237;spevku-&#352;ablon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AA83-077E-4EE5-A555-70DFD70C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VzorPríspevku-Šablona</Template>
  <TotalTime>12</TotalTime>
  <Pages>3</Pages>
  <Words>709</Words>
  <Characters>4046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Šablona</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dc:title>
  <dc:creator>maga.js16@gmail.com</dc:creator>
  <cp:lastModifiedBy>Janka</cp:lastModifiedBy>
  <cp:revision>2</cp:revision>
  <dcterms:created xsi:type="dcterms:W3CDTF">2020-11-20T07:52:00Z</dcterms:created>
  <dcterms:modified xsi:type="dcterms:W3CDTF">2022-11-10T15:23:00Z</dcterms:modified>
</cp:coreProperties>
</file>