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419" w:rsidRPr="00B45FA6" w:rsidRDefault="00813419" w:rsidP="00813419">
      <w:pPr>
        <w:pStyle w:val="Nzov"/>
        <w:outlineLvl w:val="0"/>
        <w:rPr>
          <w:szCs w:val="28"/>
        </w:rPr>
      </w:pPr>
      <w:r w:rsidRPr="00B45FA6">
        <w:t>Course Description</w:t>
      </w:r>
    </w:p>
    <w:tbl>
      <w:tblPr>
        <w:tblW w:w="50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0"/>
        <w:gridCol w:w="7137"/>
      </w:tblGrid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5E90" w:rsidRPr="00415E90" w:rsidRDefault="00415E90" w:rsidP="00415E90">
            <w:pPr>
              <w:spacing w:after="0" w:line="240" w:lineRule="auto"/>
              <w:ind w:left="36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University</w:t>
            </w:r>
            <w:proofErr w:type="spellEnd"/>
            <w:r w:rsidR="00EB3766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Pr="00EB3766">
              <w:rPr>
                <w:rFonts w:ascii="Times New Roman" w:hAnsi="Times New Roman"/>
              </w:rPr>
              <w:t>Academy</w:t>
            </w:r>
            <w:proofErr w:type="spellEnd"/>
            <w:r w:rsidRPr="00EB3766">
              <w:rPr>
                <w:rFonts w:ascii="Times New Roman" w:hAnsi="Times New Roman"/>
              </w:rPr>
              <w:t xml:space="preserve"> </w:t>
            </w:r>
            <w:r w:rsidR="00EB3766" w:rsidRPr="00EB3766">
              <w:rPr>
                <w:rFonts w:ascii="Times New Roman" w:hAnsi="Times New Roman"/>
              </w:rPr>
              <w:t xml:space="preserve"> of </w:t>
            </w:r>
            <w:proofErr w:type="spellStart"/>
            <w:r w:rsidR="00EB3766" w:rsidRPr="00EB3766">
              <w:rPr>
                <w:rFonts w:ascii="Times New Roman" w:hAnsi="Times New Roman"/>
              </w:rPr>
              <w:t>the</w:t>
            </w:r>
            <w:proofErr w:type="spellEnd"/>
            <w:r w:rsidR="00EB3766" w:rsidRPr="00EB3766">
              <w:rPr>
                <w:rFonts w:ascii="Times New Roman" w:hAnsi="Times New Roman"/>
              </w:rPr>
              <w:t xml:space="preserve"> Police </w:t>
            </w:r>
            <w:proofErr w:type="spellStart"/>
            <w:r w:rsidR="00EB3766" w:rsidRPr="00EB3766">
              <w:rPr>
                <w:rFonts w:ascii="Times New Roman" w:hAnsi="Times New Roman"/>
              </w:rPr>
              <w:t>Force</w:t>
            </w:r>
            <w:proofErr w:type="spellEnd"/>
            <w:r w:rsidR="00EB3766" w:rsidRPr="00EB3766">
              <w:rPr>
                <w:rFonts w:ascii="Times New Roman" w:hAnsi="Times New Roman"/>
              </w:rPr>
              <w:t xml:space="preserve"> </w:t>
            </w:r>
            <w:r w:rsidRPr="00EB3766">
              <w:rPr>
                <w:rFonts w:ascii="Times New Roman" w:hAnsi="Times New Roman"/>
              </w:rPr>
              <w:t>in Bratislava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1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1E2EE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Code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BF7BBA">
              <w:rPr>
                <w:rFonts w:ascii="Times New Roman" w:hAnsi="Times New Roman"/>
                <w:b/>
              </w:rPr>
              <w:t xml:space="preserve"> </w:t>
            </w:r>
            <w:r w:rsidR="0042137C" w:rsidRPr="00EB3766">
              <w:rPr>
                <w:rFonts w:ascii="Times New Roman" w:hAnsi="Times New Roman"/>
              </w:rPr>
              <w:t>831</w:t>
            </w:r>
            <w:r w:rsidR="0083099A" w:rsidRPr="00EB3766">
              <w:rPr>
                <w:rFonts w:ascii="Times New Roman" w:hAnsi="Times New Roman"/>
              </w:rPr>
              <w:t xml:space="preserve"> 14 VP 1</w:t>
            </w:r>
            <w:r w:rsidR="00BF7BBA" w:rsidRPr="00EB3766">
              <w:rPr>
                <w:rFonts w:ascii="Times New Roman" w:hAnsi="Times New Roman"/>
              </w:rPr>
              <w:t xml:space="preserve"> AJ</w:t>
            </w:r>
            <w:r w:rsidRPr="00B45FA6">
              <w:rPr>
                <w:rFonts w:ascii="Times New Roman" w:hAnsi="Times New Roman"/>
                <w:b/>
                <w:vanish/>
              </w:rPr>
              <w:t xml:space="preserve">: </w:t>
            </w:r>
            <w:r w:rsidRPr="00B45FA6">
              <w:rPr>
                <w:rFonts w:ascii="Times New Roman" w:hAnsi="Times New Roman"/>
                <w:vanish/>
              </w:rPr>
              <w:t>832 D 22 PP 4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0061FC" w:rsidP="00503E87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Name</w:t>
            </w:r>
            <w:proofErr w:type="spellEnd"/>
            <w:r w:rsidR="00BF7BBA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503E87" w:rsidRPr="00EB3766">
              <w:rPr>
                <w:rFonts w:ascii="Times New Roman" w:hAnsi="Times New Roman"/>
              </w:rPr>
              <w:t>Administrative</w:t>
            </w:r>
            <w:proofErr w:type="spellEnd"/>
            <w:r w:rsidR="00BF7BBA" w:rsidRPr="00EB3766">
              <w:rPr>
                <w:rFonts w:ascii="Times New Roman" w:hAnsi="Times New Roman"/>
              </w:rPr>
              <w:t xml:space="preserve"> </w:t>
            </w:r>
            <w:proofErr w:type="spellStart"/>
            <w:r w:rsidR="00BF7BBA" w:rsidRPr="00EB3766">
              <w:rPr>
                <w:rFonts w:ascii="Times New Roman" w:hAnsi="Times New Roman"/>
              </w:rPr>
              <w:t>L</w:t>
            </w:r>
            <w:r w:rsidR="002613BD" w:rsidRPr="00EB3766">
              <w:rPr>
                <w:rFonts w:ascii="Times New Roman" w:hAnsi="Times New Roman"/>
              </w:rPr>
              <w:t>aw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Obchodné právo</w:t>
            </w:r>
          </w:p>
        </w:tc>
      </w:tr>
      <w:tr w:rsidR="00813419" w:rsidRPr="00B45FA6" w:rsidTr="000061FC">
        <w:trPr>
          <w:cantSplit/>
          <w:trHeight w:val="454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333D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45FA6">
              <w:rPr>
                <w:rFonts w:ascii="Times New Roman" w:hAnsi="Times New Roman"/>
                <w:b/>
              </w:rPr>
              <w:t xml:space="preserve">Type, </w:t>
            </w:r>
            <w:proofErr w:type="spellStart"/>
            <w:r w:rsidRPr="00B45FA6">
              <w:rPr>
                <w:rFonts w:ascii="Times New Roman" w:hAnsi="Times New Roman"/>
                <w:b/>
              </w:rPr>
              <w:t>Extent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and </w:t>
            </w:r>
            <w:proofErr w:type="spellStart"/>
            <w:r w:rsidRPr="00B45FA6">
              <w:rPr>
                <w:rFonts w:ascii="Times New Roman" w:hAnsi="Times New Roman"/>
                <w:b/>
              </w:rPr>
              <w:t>Method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Instruction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  <w:b/>
              </w:rPr>
              <w:t xml:space="preserve"> </w:t>
            </w:r>
            <w:r w:rsidRPr="00B45FA6">
              <w:rPr>
                <w:rFonts w:ascii="Times New Roman" w:hAnsi="Times New Roman"/>
                <w:b/>
              </w:rPr>
              <w:t xml:space="preserve"> </w:t>
            </w:r>
          </w:p>
          <w:p w:rsidR="009F2142" w:rsidRPr="00B45FA6" w:rsidRDefault="00FF1676" w:rsidP="000061FC">
            <w:pPr>
              <w:spacing w:after="0" w:line="240" w:lineRule="auto"/>
              <w:rPr>
                <w:rFonts w:ascii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Type:</w:t>
            </w:r>
            <w:r w:rsidRPr="00B45FA6">
              <w:rPr>
                <w:rFonts w:ascii="Times New Roman" w:hAnsi="Times New Roman"/>
              </w:rPr>
              <w:t xml:space="preserve">  </w:t>
            </w:r>
            <w:r w:rsidRPr="00B45FA6">
              <w:rPr>
                <w:rFonts w:ascii="Times New Roman" w:hAnsi="Times New Roman"/>
                <w:vanish/>
              </w:rPr>
              <w:t>P, C</w:t>
            </w:r>
          </w:p>
          <w:p w:rsidR="009F2142" w:rsidRPr="00B45FA6" w:rsidRDefault="009F2142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Format</w:t>
            </w:r>
            <w:proofErr w:type="spellEnd"/>
            <w:r w:rsidR="002613BD"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</w:rPr>
              <w:t xml:space="preserve"> 2 </w:t>
            </w:r>
            <w:proofErr w:type="spellStart"/>
            <w:r w:rsidR="002613BD" w:rsidRPr="00B45FA6">
              <w:rPr>
                <w:rFonts w:ascii="Times New Roman" w:hAnsi="Times New Roman"/>
              </w:rPr>
              <w:t>hours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of </w:t>
            </w:r>
            <w:proofErr w:type="spellStart"/>
            <w:r w:rsidR="002613BD" w:rsidRPr="00B45FA6">
              <w:rPr>
                <w:rFonts w:ascii="Times New Roman" w:hAnsi="Times New Roman"/>
              </w:rPr>
              <w:t>lecturing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per </w:t>
            </w:r>
            <w:proofErr w:type="spellStart"/>
            <w:r w:rsidR="002613BD" w:rsidRPr="00B45FA6">
              <w:rPr>
                <w:rFonts w:ascii="Times New Roman" w:hAnsi="Times New Roman"/>
              </w:rPr>
              <w:t>week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 xml:space="preserve">2 hodiny prednášok/ 2 hodiny cvičení týždenne </w:t>
            </w:r>
          </w:p>
          <w:p w:rsidR="009F2142" w:rsidRPr="00B45FA6" w:rsidRDefault="00115D5B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Methods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Attendance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Method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prezenčná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Number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Credits</w:t>
            </w:r>
            <w:proofErr w:type="spellEnd"/>
            <w:r w:rsidRPr="00B45FA6">
              <w:rPr>
                <w:rFonts w:ascii="Times New Roman" w:hAnsi="Times New Roman"/>
              </w:rPr>
              <w:t xml:space="preserve">: </w:t>
            </w:r>
            <w:r w:rsidR="00EB3766">
              <w:rPr>
                <w:rFonts w:ascii="Times New Roman" w:hAnsi="Times New Roman"/>
              </w:rPr>
              <w:t>5</w:t>
            </w:r>
            <w:r w:rsidRPr="00B45FA6">
              <w:rPr>
                <w:rFonts w:ascii="Times New Roman" w:hAnsi="Times New Roman"/>
                <w:vanish/>
              </w:rPr>
              <w:t>4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115D5B">
            <w:pPr>
              <w:spacing w:after="0" w:line="240" w:lineRule="auto"/>
              <w:rPr>
                <w:rFonts w:ascii="Times New Roman" w:eastAsia="Times New Roman" w:hAnsi="Times New Roman"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Term:</w:t>
            </w:r>
            <w:r w:rsidR="00503E87">
              <w:rPr>
                <w:rFonts w:ascii="Times New Roman" w:hAnsi="Times New Roman"/>
              </w:rPr>
              <w:t xml:space="preserve"> 4</w:t>
            </w:r>
            <w:r w:rsidR="002613BD" w:rsidRPr="00B45FA6">
              <w:rPr>
                <w:rFonts w:ascii="Times New Roman" w:hAnsi="Times New Roman"/>
                <w:vertAlign w:val="superscript"/>
              </w:rPr>
              <w:t>th</w:t>
            </w:r>
            <w:r w:rsidR="002613BD" w:rsidRPr="00B45FA6">
              <w:rPr>
                <w:rFonts w:ascii="Times New Roman" w:hAnsi="Times New Roman"/>
              </w:rPr>
              <w:t xml:space="preserve"> Semester</w:t>
            </w:r>
            <w:r w:rsidRPr="00B45FA6">
              <w:rPr>
                <w:rFonts w:ascii="Times New Roman" w:hAnsi="Times New Roman"/>
                <w:vanish/>
              </w:rPr>
              <w:t>2. semester</w:t>
            </w:r>
          </w:p>
        </w:tc>
      </w:tr>
      <w:tr w:rsidR="00813419" w:rsidRPr="00B45FA6" w:rsidTr="000061FC">
        <w:trPr>
          <w:cantSplit/>
          <w:trHeight w:val="283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Degree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Study:</w:t>
            </w:r>
            <w:r w:rsidR="002613BD" w:rsidRPr="00B45FA6">
              <w:rPr>
                <w:rFonts w:ascii="Times New Roman" w:hAnsi="Times New Roman"/>
              </w:rPr>
              <w:t xml:space="preserve"> 1</w:t>
            </w:r>
            <w:r w:rsidR="002613BD" w:rsidRPr="00B45FA6">
              <w:rPr>
                <w:rFonts w:ascii="Times New Roman" w:hAnsi="Times New Roman"/>
                <w:vertAlign w:val="superscript"/>
              </w:rPr>
              <w:t>st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</w:rPr>
              <w:t>Degree</w:t>
            </w:r>
            <w:proofErr w:type="spellEnd"/>
            <w:r w:rsidRPr="00B45FA6">
              <w:rPr>
                <w:rFonts w:ascii="Times New Roman" w:hAnsi="Times New Roman"/>
                <w:vanish/>
              </w:rPr>
              <w:t>2. stupeň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AA61A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b/>
              </w:rPr>
              <w:t>Pre-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requisites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: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F10" w:rsidRPr="00B45FA6" w:rsidRDefault="00813419" w:rsidP="000061FC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Requirements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503E87" w:rsidRPr="00503E87" w:rsidRDefault="00D01F10" w:rsidP="00503E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Continuous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One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written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examination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for 100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To </w:t>
            </w:r>
            <w:proofErr w:type="spellStart"/>
            <w:r w:rsidR="00503E87" w:rsidRPr="00503E87">
              <w:rPr>
                <w:rFonts w:ascii="Times New Roman" w:hAnsi="Times New Roman"/>
              </w:rPr>
              <w:t>obtain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A, </w:t>
            </w:r>
            <w:proofErr w:type="spellStart"/>
            <w:r w:rsidR="00503E87" w:rsidRPr="00503E87">
              <w:rPr>
                <w:rFonts w:ascii="Times New Roman" w:hAnsi="Times New Roman"/>
              </w:rPr>
              <w:t>it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is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necessary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to get at </w:t>
            </w:r>
            <w:proofErr w:type="spellStart"/>
            <w:r w:rsidR="00503E87" w:rsidRPr="00503E87">
              <w:rPr>
                <w:rFonts w:ascii="Times New Roman" w:hAnsi="Times New Roman"/>
              </w:rPr>
              <w:t>least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94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To </w:t>
            </w:r>
            <w:proofErr w:type="spellStart"/>
            <w:r w:rsidR="00503E87" w:rsidRPr="00503E87">
              <w:rPr>
                <w:rFonts w:ascii="Times New Roman" w:hAnsi="Times New Roman"/>
              </w:rPr>
              <w:t>obtain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B at </w:t>
            </w:r>
            <w:proofErr w:type="spellStart"/>
            <w:r w:rsidR="00503E87" w:rsidRPr="00503E87">
              <w:rPr>
                <w:rFonts w:ascii="Times New Roman" w:hAnsi="Times New Roman"/>
              </w:rPr>
              <w:t>least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86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to </w:t>
            </w:r>
            <w:proofErr w:type="spellStart"/>
            <w:r w:rsidR="00503E87" w:rsidRPr="00503E87">
              <w:rPr>
                <w:rFonts w:ascii="Times New Roman" w:hAnsi="Times New Roman"/>
              </w:rPr>
              <w:t>obtain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C at </w:t>
            </w:r>
            <w:proofErr w:type="spellStart"/>
            <w:r w:rsidR="00503E87" w:rsidRPr="00503E87">
              <w:rPr>
                <w:rFonts w:ascii="Times New Roman" w:hAnsi="Times New Roman"/>
              </w:rPr>
              <w:t>least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76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to </w:t>
            </w:r>
            <w:proofErr w:type="spellStart"/>
            <w:r w:rsidR="00503E87" w:rsidRPr="00503E87">
              <w:rPr>
                <w:rFonts w:ascii="Times New Roman" w:hAnsi="Times New Roman"/>
              </w:rPr>
              <w:t>obtain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D at </w:t>
            </w:r>
            <w:proofErr w:type="spellStart"/>
            <w:r w:rsidR="00503E87" w:rsidRPr="00503E87">
              <w:rPr>
                <w:rFonts w:ascii="Times New Roman" w:hAnsi="Times New Roman"/>
              </w:rPr>
              <w:t>least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66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to </w:t>
            </w:r>
            <w:proofErr w:type="spellStart"/>
            <w:r w:rsidR="00503E87" w:rsidRPr="00503E87">
              <w:rPr>
                <w:rFonts w:ascii="Times New Roman" w:hAnsi="Times New Roman"/>
              </w:rPr>
              <w:t>obtain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E at </w:t>
            </w:r>
            <w:proofErr w:type="spellStart"/>
            <w:r w:rsidR="00503E87" w:rsidRPr="00503E87">
              <w:rPr>
                <w:rFonts w:ascii="Times New Roman" w:hAnsi="Times New Roman"/>
              </w:rPr>
              <w:t>least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56 </w:t>
            </w:r>
            <w:proofErr w:type="spellStart"/>
            <w:r w:rsidR="00503E87" w:rsidRPr="00503E87">
              <w:rPr>
                <w:rFonts w:ascii="Times New Roman" w:hAnsi="Times New Roman"/>
              </w:rPr>
              <w:t>points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condition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student´s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registration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for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exam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is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to </w:t>
            </w:r>
            <w:proofErr w:type="spellStart"/>
            <w:r w:rsidR="00503E87" w:rsidRPr="00503E87">
              <w:rPr>
                <w:rFonts w:ascii="Times New Roman" w:hAnsi="Times New Roman"/>
              </w:rPr>
              <w:t>meet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conditions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in-</w:t>
            </w:r>
            <w:proofErr w:type="spellStart"/>
            <w:r w:rsidR="00503E87" w:rsidRPr="00503E87">
              <w:rPr>
                <w:rFonts w:ascii="Times New Roman" w:hAnsi="Times New Roman"/>
              </w:rPr>
              <w:t>course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evaluation</w:t>
            </w:r>
            <w:proofErr w:type="spellEnd"/>
            <w:r w:rsidR="00503E87" w:rsidRPr="00503E87">
              <w:rPr>
                <w:rFonts w:ascii="Times New Roman" w:hAnsi="Times New Roman"/>
              </w:rPr>
              <w:t>.</w:t>
            </w:r>
          </w:p>
          <w:p w:rsidR="00D01F10" w:rsidRPr="00B45FA6" w:rsidRDefault="00503E87" w:rsidP="00503E8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503E87">
              <w:rPr>
                <w:rFonts w:ascii="Times New Roman" w:hAnsi="Times New Roman"/>
              </w:rPr>
              <w:t>Final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evaluation</w:t>
            </w:r>
            <w:proofErr w:type="spellEnd"/>
            <w:r w:rsidRPr="00503E87">
              <w:rPr>
                <w:rFonts w:ascii="Times New Roman" w:hAnsi="Times New Roman"/>
              </w:rPr>
              <w:t xml:space="preserve">: </w:t>
            </w:r>
            <w:proofErr w:type="spellStart"/>
            <w:r w:rsidRPr="00503E87">
              <w:rPr>
                <w:rFonts w:ascii="Times New Roman" w:hAnsi="Times New Roman"/>
              </w:rPr>
              <w:t>Exam</w:t>
            </w:r>
            <w:proofErr w:type="spellEnd"/>
            <w:r w:rsidRPr="00503E87">
              <w:rPr>
                <w:rFonts w:ascii="Times New Roman" w:hAnsi="Times New Roman"/>
              </w:rPr>
              <w:t xml:space="preserve"> “E” – </w:t>
            </w:r>
            <w:proofErr w:type="spellStart"/>
            <w:r w:rsidRPr="00503E87">
              <w:rPr>
                <w:rFonts w:ascii="Times New Roman" w:hAnsi="Times New Roman"/>
              </w:rPr>
              <w:t>the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result</w:t>
            </w:r>
            <w:proofErr w:type="spellEnd"/>
            <w:r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Pr="00503E87">
              <w:rPr>
                <w:rFonts w:ascii="Times New Roman" w:hAnsi="Times New Roman"/>
              </w:rPr>
              <w:t>the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assessment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exam</w:t>
            </w:r>
            <w:proofErr w:type="spellEnd"/>
            <w:r w:rsidR="00EB3766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spellStart"/>
            <w:r w:rsidR="00D01F10" w:rsidRPr="00B45FA6">
              <w:rPr>
                <w:rFonts w:ascii="Times New Roman" w:hAnsi="Times New Roman"/>
                <w:b/>
              </w:rPr>
              <w:t>Final</w:t>
            </w:r>
            <w:proofErr w:type="spellEnd"/>
            <w:r w:rsidR="00D01F10"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01F10"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="00D01F10" w:rsidRPr="00B45FA6">
              <w:rPr>
                <w:rFonts w:ascii="Times New Roman" w:hAnsi="Times New Roman"/>
                <w:b/>
              </w:rPr>
              <w:t xml:space="preserve">: </w:t>
            </w:r>
            <w:proofErr w:type="spellStart"/>
            <w:r w:rsidR="002613BD" w:rsidRPr="00B45FA6">
              <w:rPr>
                <w:rFonts w:ascii="Times New Roman" w:hAnsi="Times New Roman"/>
              </w:rPr>
              <w:t>Exam</w:t>
            </w:r>
            <w:proofErr w:type="spellEnd"/>
            <w:r w:rsidR="002613BD" w:rsidRPr="00B45FA6">
              <w:rPr>
                <w:rFonts w:ascii="Times New Roman" w:hAnsi="Times New Roman"/>
              </w:rPr>
              <w:t xml:space="preserve"> „E</w:t>
            </w:r>
            <w:r w:rsidR="00D01F10" w:rsidRPr="00B45FA6">
              <w:rPr>
                <w:rFonts w:ascii="Times New Roman" w:hAnsi="Times New Roman"/>
              </w:rPr>
              <w:t xml:space="preserve">“ - </w:t>
            </w:r>
            <w:proofErr w:type="spellStart"/>
            <w:r w:rsidR="00D01F10" w:rsidRPr="00B45FA6">
              <w:rPr>
                <w:rFonts w:ascii="Times New Roman" w:hAnsi="Times New Roman"/>
              </w:rPr>
              <w:t>exam</w:t>
            </w:r>
            <w:proofErr w:type="spellEnd"/>
            <w:r w:rsidR="00D01F10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D01F10" w:rsidRPr="00B45FA6">
              <w:rPr>
                <w:rFonts w:ascii="Times New Roman" w:hAnsi="Times New Roman"/>
              </w:rPr>
              <w:t>result</w:t>
            </w:r>
            <w:proofErr w:type="spellEnd"/>
          </w:p>
        </w:tc>
      </w:tr>
      <w:tr w:rsidR="00813419" w:rsidRPr="00B45FA6" w:rsidTr="00AF4726">
        <w:trPr>
          <w:cantSplit/>
          <w:trHeight w:val="1721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503E87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Outcome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="002613BD"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Completing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course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</w:t>
            </w:r>
            <w:proofErr w:type="spellStart"/>
            <w:r w:rsidR="00503E87" w:rsidRPr="00503E87">
              <w:rPr>
                <w:rFonts w:ascii="Times New Roman" w:hAnsi="Times New Roman"/>
              </w:rPr>
              <w:t>students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will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receive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knowledge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in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conditions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Slovak </w:t>
            </w:r>
            <w:proofErr w:type="spellStart"/>
            <w:r w:rsidR="00503E87" w:rsidRPr="00503E87">
              <w:rPr>
                <w:rFonts w:ascii="Times New Roman" w:hAnsi="Times New Roman"/>
              </w:rPr>
              <w:t>Republic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="00503E87" w:rsidRPr="00503E87">
              <w:rPr>
                <w:rFonts w:ascii="Times New Roman" w:hAnsi="Times New Roman"/>
              </w:rPr>
              <w:t>knowledge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Law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="00503E87" w:rsidRPr="00503E87">
              <w:rPr>
                <w:rFonts w:ascii="Times New Roman" w:hAnsi="Times New Roman"/>
              </w:rPr>
              <w:t>European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Law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="00503E87">
              <w:rPr>
                <w:rFonts w:ascii="Times New Roman" w:hAnsi="Times New Roman"/>
              </w:rPr>
              <w:t>Student</w:t>
            </w:r>
            <w:proofErr w:type="spellEnd"/>
            <w:r w:rsid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>
              <w:rPr>
                <w:rFonts w:ascii="Times New Roman" w:hAnsi="Times New Roman"/>
              </w:rPr>
              <w:t>w</w:t>
            </w:r>
            <w:r w:rsidR="00503E87" w:rsidRPr="00503E87">
              <w:rPr>
                <w:rFonts w:ascii="Times New Roman" w:hAnsi="Times New Roman"/>
              </w:rPr>
              <w:t>ill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be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able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to </w:t>
            </w:r>
            <w:proofErr w:type="spellStart"/>
            <w:r w:rsidR="00503E87" w:rsidRPr="00503E87">
              <w:rPr>
                <w:rFonts w:ascii="Times New Roman" w:hAnsi="Times New Roman"/>
              </w:rPr>
              <w:t>analyze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importance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Law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="00503E87" w:rsidRPr="00503E87">
              <w:rPr>
                <w:rFonts w:ascii="Times New Roman" w:hAnsi="Times New Roman"/>
              </w:rPr>
              <w:t>it´s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status in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system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Slovak </w:t>
            </w:r>
            <w:proofErr w:type="spellStart"/>
            <w:r w:rsidR="00503E87" w:rsidRPr="00503E87">
              <w:rPr>
                <w:rFonts w:ascii="Times New Roman" w:hAnsi="Times New Roman"/>
              </w:rPr>
              <w:t>Republic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="00503E87" w:rsidRPr="00503E87">
              <w:rPr>
                <w:rFonts w:ascii="Times New Roman" w:hAnsi="Times New Roman"/>
              </w:rPr>
              <w:t>European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Union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</w:t>
            </w:r>
            <w:proofErr w:type="spellStart"/>
            <w:r w:rsidR="00503E87" w:rsidRPr="00503E87">
              <w:rPr>
                <w:rFonts w:ascii="Times New Roman" w:hAnsi="Times New Roman"/>
              </w:rPr>
              <w:t>define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load-bearing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terms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</w:t>
            </w:r>
            <w:proofErr w:type="spellStart"/>
            <w:r w:rsidR="00503E87" w:rsidRPr="00503E87">
              <w:rPr>
                <w:rFonts w:ascii="Times New Roman" w:hAnsi="Times New Roman"/>
              </w:rPr>
              <w:t>key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concepts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used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in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theory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Law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="00503E87" w:rsidRPr="00503E87">
              <w:rPr>
                <w:rFonts w:ascii="Times New Roman" w:hAnsi="Times New Roman"/>
              </w:rPr>
              <w:t>They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receive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knowledge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in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field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Justice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Slovak </w:t>
            </w:r>
            <w:proofErr w:type="spellStart"/>
            <w:r w:rsidR="00503E87" w:rsidRPr="00503E87">
              <w:rPr>
                <w:rFonts w:ascii="Times New Roman" w:hAnsi="Times New Roman"/>
              </w:rPr>
              <w:t>Republic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="00503E87" w:rsidRPr="00503E87">
              <w:rPr>
                <w:rFonts w:ascii="Times New Roman" w:hAnsi="Times New Roman"/>
              </w:rPr>
              <w:t>European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Union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together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with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other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important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protections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law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="00503E87" w:rsidRPr="00503E87">
              <w:rPr>
                <w:rFonts w:ascii="Times New Roman" w:hAnsi="Times New Roman"/>
              </w:rPr>
              <w:t>They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will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receive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basic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knowledge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police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,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status and </w:t>
            </w:r>
            <w:proofErr w:type="spellStart"/>
            <w:r w:rsidR="00503E87" w:rsidRPr="00503E87">
              <w:rPr>
                <w:rFonts w:ascii="Times New Roman" w:hAnsi="Times New Roman"/>
              </w:rPr>
              <w:t>legal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scope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Police </w:t>
            </w:r>
            <w:proofErr w:type="spellStart"/>
            <w:r w:rsidR="00503E87" w:rsidRPr="00503E87">
              <w:rPr>
                <w:rFonts w:ascii="Times New Roman" w:hAnsi="Times New Roman"/>
              </w:rPr>
              <w:t>Force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in </w:t>
            </w:r>
            <w:proofErr w:type="spellStart"/>
            <w:r w:rsidR="00503E87" w:rsidRPr="00503E87">
              <w:rPr>
                <w:rFonts w:ascii="Times New Roman" w:hAnsi="Times New Roman"/>
              </w:rPr>
              <w:t>the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="00503E87" w:rsidRPr="00503E87">
              <w:rPr>
                <w:rFonts w:ascii="Times New Roman" w:hAnsi="Times New Roman"/>
              </w:rPr>
              <w:t>administration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 of Slovak </w:t>
            </w:r>
            <w:proofErr w:type="spellStart"/>
            <w:r w:rsidR="00503E87" w:rsidRPr="00503E87">
              <w:rPr>
                <w:rFonts w:ascii="Times New Roman" w:hAnsi="Times New Roman"/>
              </w:rPr>
              <w:t>Republic</w:t>
            </w:r>
            <w:proofErr w:type="spellEnd"/>
            <w:r w:rsidR="00503E87" w:rsidRPr="00503E87">
              <w:rPr>
                <w:rFonts w:ascii="Times New Roman" w:hAnsi="Times New Roman"/>
              </w:rPr>
              <w:t xml:space="preserve">.    </w:t>
            </w:r>
            <w:r w:rsidRPr="00B45FA6">
              <w:rPr>
                <w:rFonts w:ascii="Times New Roman" w:hAnsi="Times New Roman"/>
                <w:vanish/>
              </w:rPr>
              <w:t>Absolvovaním predmetu Obchodné právo študent nadobudol všeobecný prehľad o základných obchodnoprávnych inštitútoch, poznatky o právnej ochrane hospodárskej súťaže, prehľad subjektívnych a nesubjektívnych formách podnikania i obchodných záväzkových vzťahoch vrátane praktického zvládnutia zmluvnej typológie podľa Obchodného zákonníka. Zároveň získal relevantné poznatky z procesov konkurzu a reštrukturalizácie a verejného obstarávania i z hľadiska ich bezpečnostného aspektu.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2DF" w:rsidRPr="00415E90" w:rsidRDefault="00415E90" w:rsidP="00C142DF">
            <w:pPr>
              <w:pStyle w:val="Zkladntext"/>
              <w:rPr>
                <w:sz w:val="22"/>
                <w:szCs w:val="22"/>
                <w:lang w:val="en-US"/>
              </w:rPr>
            </w:pPr>
            <w:r w:rsidRPr="00415E90">
              <w:rPr>
                <w:sz w:val="22"/>
                <w:szCs w:val="22"/>
                <w:lang w:val="en-US"/>
              </w:rPr>
              <w:t>Course Description</w:t>
            </w:r>
            <w:r w:rsidR="00813419" w:rsidRPr="00415E90">
              <w:rPr>
                <w:sz w:val="22"/>
                <w:szCs w:val="22"/>
                <w:lang w:val="en-US"/>
              </w:rPr>
              <w:t>:</w:t>
            </w:r>
          </w:p>
          <w:p w:rsidR="00C63858" w:rsidRPr="00503E87" w:rsidRDefault="00503E87" w:rsidP="00503E87">
            <w:pPr>
              <w:rPr>
                <w:rFonts w:ascii="Times New Roman" w:hAnsi="Times New Roman"/>
                <w:vanish/>
              </w:rPr>
            </w:pPr>
            <w:r w:rsidRPr="00503E87">
              <w:rPr>
                <w:rFonts w:ascii="Times New Roman" w:hAnsi="Times New Roman"/>
                <w:lang w:val="en-GB" w:eastAsia="en-GB" w:bidi="en-GB"/>
              </w:rPr>
              <w:t>Introduction into Public Administration – public administration, Persons and Institutions in Public Administration, European Administrative Law</w:t>
            </w:r>
            <w:r>
              <w:rPr>
                <w:rFonts w:ascii="Times New Roman" w:hAnsi="Times New Roman"/>
              </w:rPr>
              <w:t xml:space="preserve">. Slovak </w:t>
            </w:r>
            <w:proofErr w:type="spellStart"/>
            <w:r>
              <w:rPr>
                <w:rFonts w:ascii="Times New Roman" w:hAnsi="Times New Roman"/>
              </w:rPr>
              <w:t>Administrative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Law</w:t>
            </w:r>
            <w:proofErr w:type="spellEnd"/>
            <w:r>
              <w:rPr>
                <w:rFonts w:ascii="Times New Roman" w:hAnsi="Times New Roman"/>
              </w:rPr>
              <w:t>.</w:t>
            </w:r>
            <w:r w:rsidRPr="00503E87">
              <w:rPr>
                <w:rFonts w:ascii="Times New Roman" w:hAnsi="Times New Roman"/>
                <w:lang w:val="en-GB" w:eastAsia="en-GB" w:bidi="en-GB"/>
              </w:rPr>
              <w:t xml:space="preserve"> Administrative Liability</w:t>
            </w:r>
            <w:r>
              <w:rPr>
                <w:rFonts w:ascii="Times New Roman" w:hAnsi="Times New Roman"/>
              </w:rPr>
              <w:t>.</w:t>
            </w:r>
            <w:r w:rsidRPr="00503E87">
              <w:rPr>
                <w:rFonts w:ascii="Times New Roman" w:hAnsi="Times New Roman"/>
                <w:lang w:val="en-GB" w:eastAsia="en-GB" w:bidi="en-GB"/>
              </w:rPr>
              <w:t xml:space="preserve"> Sources of Administrative Law, Sources of European Administrative Law</w:t>
            </w:r>
            <w:r>
              <w:rPr>
                <w:rFonts w:ascii="Times New Roman" w:hAnsi="Times New Roman"/>
              </w:rPr>
              <w:t>.</w:t>
            </w:r>
            <w:r w:rsidRPr="00503E87">
              <w:rPr>
                <w:rFonts w:ascii="Times New Roman" w:hAnsi="Times New Roman"/>
                <w:lang w:val="en-GB" w:eastAsia="en-GB" w:bidi="en-GB"/>
              </w:rPr>
              <w:t xml:space="preserve"> Systems of Control in Public Administration</w:t>
            </w:r>
            <w:r>
              <w:rPr>
                <w:rFonts w:ascii="Times New Roman" w:hAnsi="Times New Roman"/>
              </w:rPr>
              <w:t>.</w:t>
            </w:r>
            <w:r w:rsidRPr="00503E87">
              <w:rPr>
                <w:rFonts w:ascii="Times New Roman" w:hAnsi="Times New Roman"/>
                <w:lang w:val="en-GB" w:eastAsia="en-GB" w:bidi="en-GB"/>
              </w:rPr>
              <w:t xml:space="preserve"> Legal Acts and Bylaws issued by Bodies of Public Administration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European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Administrative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procedure</w:t>
            </w:r>
            <w:proofErr w:type="spellEnd"/>
            <w:r>
              <w:rPr>
                <w:rFonts w:ascii="Times New Roman" w:hAnsi="Times New Roman"/>
              </w:rPr>
              <w:t>. Ombudsman.</w:t>
            </w:r>
            <w:r w:rsidRPr="00503E87">
              <w:rPr>
                <w:rFonts w:ascii="Times New Roman" w:hAnsi="Times New Roman"/>
                <w:lang w:val="en-GB" w:eastAsia="en-GB" w:bidi="en-GB"/>
              </w:rPr>
              <w:t xml:space="preserve"> Police administration I. Police Administration II.</w:t>
            </w:r>
            <w:r w:rsidR="00B17C89">
              <w:rPr>
                <w:rFonts w:ascii="Times New Roman" w:hAnsi="Times New Roman"/>
              </w:rPr>
              <w:t xml:space="preserve"> (</w:t>
            </w:r>
            <w:proofErr w:type="spellStart"/>
            <w:r w:rsidR="00B17C89">
              <w:rPr>
                <w:rFonts w:ascii="Times New Roman" w:hAnsi="Times New Roman"/>
              </w:rPr>
              <w:t>tax</w:t>
            </w:r>
            <w:proofErr w:type="spellEnd"/>
            <w:r w:rsidR="00B17C89">
              <w:rPr>
                <w:rFonts w:ascii="Times New Roman" w:hAnsi="Times New Roman"/>
              </w:rPr>
              <w:t xml:space="preserve"> </w:t>
            </w:r>
            <w:proofErr w:type="spellStart"/>
            <w:r w:rsidR="00B17C89">
              <w:rPr>
                <w:rFonts w:ascii="Times New Roman" w:hAnsi="Times New Roman"/>
              </w:rPr>
              <w:t>administration</w:t>
            </w:r>
            <w:proofErr w:type="spellEnd"/>
            <w:r w:rsidR="00B17C89">
              <w:rPr>
                <w:rFonts w:ascii="Times New Roman" w:hAnsi="Times New Roman"/>
              </w:rPr>
              <w:t xml:space="preserve">, </w:t>
            </w:r>
            <w:proofErr w:type="spellStart"/>
            <w:r w:rsidR="00B17C89">
              <w:rPr>
                <w:rFonts w:ascii="Times New Roman" w:hAnsi="Times New Roman"/>
              </w:rPr>
              <w:t>custom</w:t>
            </w:r>
            <w:proofErr w:type="spellEnd"/>
            <w:r w:rsidR="00B17C89">
              <w:rPr>
                <w:rFonts w:ascii="Times New Roman" w:hAnsi="Times New Roman"/>
              </w:rPr>
              <w:t xml:space="preserve"> </w:t>
            </w:r>
            <w:proofErr w:type="spellStart"/>
            <w:r w:rsidR="00B17C89">
              <w:rPr>
                <w:rFonts w:ascii="Times New Roman" w:hAnsi="Times New Roman"/>
              </w:rPr>
              <w:t>administration</w:t>
            </w:r>
            <w:proofErr w:type="spellEnd"/>
            <w:r w:rsidR="00B17C89">
              <w:rPr>
                <w:rFonts w:ascii="Times New Roman" w:hAnsi="Times New Roman"/>
              </w:rPr>
              <w:t>)</w:t>
            </w:r>
            <w:r w:rsidR="00C63858" w:rsidRPr="00503E87">
              <w:rPr>
                <w:rFonts w:ascii="Times New Roman" w:hAnsi="Times New Roman"/>
                <w:vanish/>
              </w:rPr>
              <w:t xml:space="preserve">                                               3. Právna ochrana hospodárskej súťaže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4. Subjektívne a nesubjektívne formy podnikania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5. Obchodné záväzkové vzťahy</w:t>
            </w:r>
          </w:p>
          <w:p w:rsidR="00C63858" w:rsidRPr="00B45FA6" w:rsidRDefault="00C63858" w:rsidP="000061FC">
            <w:pPr>
              <w:spacing w:after="0" w:line="240" w:lineRule="auto"/>
              <w:rPr>
                <w:rFonts w:ascii="Times New Roman" w:hAnsi="Times New Roman"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6. Zmluvná typológia podľa Obchodného zákonníka</w:t>
            </w:r>
          </w:p>
          <w:p w:rsidR="00813419" w:rsidRPr="00B45FA6" w:rsidRDefault="00C63858" w:rsidP="000061F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                            7. Konkurz a reštrukturalizácia. Verejné obstarávanie                  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419" w:rsidRPr="00B45FA6" w:rsidRDefault="00813419" w:rsidP="000061FC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Recommended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Reading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503E87" w:rsidRPr="00503E87" w:rsidRDefault="00503E87" w:rsidP="00503E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3E87">
              <w:rPr>
                <w:rFonts w:ascii="Times New Roman" w:hAnsi="Times New Roman"/>
              </w:rPr>
              <w:t>Craig</w:t>
            </w:r>
            <w:proofErr w:type="spellEnd"/>
            <w:r w:rsidRPr="00503E87">
              <w:rPr>
                <w:rFonts w:ascii="Times New Roman" w:hAnsi="Times New Roman"/>
              </w:rPr>
              <w:t xml:space="preserve">, P. EU </w:t>
            </w:r>
            <w:proofErr w:type="spellStart"/>
            <w:r w:rsidRPr="00503E87">
              <w:rPr>
                <w:rFonts w:ascii="Times New Roman" w:hAnsi="Times New Roman"/>
              </w:rPr>
              <w:t>Administrative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law</w:t>
            </w:r>
            <w:proofErr w:type="spellEnd"/>
            <w:r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Pr="00503E87">
              <w:rPr>
                <w:rFonts w:ascii="Times New Roman" w:hAnsi="Times New Roman"/>
              </w:rPr>
              <w:t>Oxford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University</w:t>
            </w:r>
            <w:proofErr w:type="spellEnd"/>
            <w:r w:rsidRPr="00503E87">
              <w:rPr>
                <w:rFonts w:ascii="Times New Roman" w:hAnsi="Times New Roman"/>
              </w:rPr>
              <w:t xml:space="preserve"> Press. 2012. 777s.</w:t>
            </w:r>
          </w:p>
          <w:p w:rsidR="00503E87" w:rsidRPr="00503E87" w:rsidRDefault="00503E87" w:rsidP="00503E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03E87">
              <w:rPr>
                <w:rFonts w:ascii="Times New Roman" w:hAnsi="Times New Roman"/>
              </w:rPr>
              <w:t>Herwig</w:t>
            </w:r>
            <w:proofErr w:type="spellEnd"/>
            <w:r w:rsidRPr="00503E87">
              <w:rPr>
                <w:rFonts w:ascii="Times New Roman" w:hAnsi="Times New Roman"/>
              </w:rPr>
              <w:t xml:space="preserve"> G.H. </w:t>
            </w:r>
            <w:proofErr w:type="spellStart"/>
            <w:r w:rsidRPr="00503E87">
              <w:rPr>
                <w:rFonts w:ascii="Times New Roman" w:hAnsi="Times New Roman"/>
              </w:rPr>
              <w:t>Hofmann</w:t>
            </w:r>
            <w:proofErr w:type="spellEnd"/>
            <w:r w:rsidRPr="00503E87">
              <w:rPr>
                <w:rFonts w:ascii="Times New Roman" w:hAnsi="Times New Roman"/>
              </w:rPr>
              <w:t xml:space="preserve"> et.al. </w:t>
            </w:r>
            <w:proofErr w:type="spellStart"/>
            <w:r w:rsidRPr="00503E87">
              <w:rPr>
                <w:rFonts w:ascii="Times New Roman" w:hAnsi="Times New Roman"/>
              </w:rPr>
              <w:t>Administrative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law</w:t>
            </w:r>
            <w:proofErr w:type="spellEnd"/>
            <w:r w:rsidRPr="00503E87">
              <w:rPr>
                <w:rFonts w:ascii="Times New Roman" w:hAnsi="Times New Roman"/>
              </w:rPr>
              <w:t xml:space="preserve"> and </w:t>
            </w:r>
            <w:proofErr w:type="spellStart"/>
            <w:r w:rsidRPr="00503E87">
              <w:rPr>
                <w:rFonts w:ascii="Times New Roman" w:hAnsi="Times New Roman"/>
              </w:rPr>
              <w:t>Policy</w:t>
            </w:r>
            <w:proofErr w:type="spellEnd"/>
            <w:r w:rsidRPr="00503E87">
              <w:rPr>
                <w:rFonts w:ascii="Times New Roman" w:hAnsi="Times New Roman"/>
              </w:rPr>
              <w:t xml:space="preserve"> of </w:t>
            </w:r>
            <w:proofErr w:type="spellStart"/>
            <w:r w:rsidRPr="00503E87">
              <w:rPr>
                <w:rFonts w:ascii="Times New Roman" w:hAnsi="Times New Roman"/>
              </w:rPr>
              <w:t>the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European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Union</w:t>
            </w:r>
            <w:proofErr w:type="spellEnd"/>
            <w:r w:rsidRPr="00503E87">
              <w:rPr>
                <w:rFonts w:ascii="Times New Roman" w:hAnsi="Times New Roman"/>
              </w:rPr>
              <w:t xml:space="preserve">. </w:t>
            </w:r>
            <w:proofErr w:type="spellStart"/>
            <w:r w:rsidRPr="00503E87">
              <w:rPr>
                <w:rFonts w:ascii="Times New Roman" w:hAnsi="Times New Roman"/>
              </w:rPr>
              <w:t>Oxford</w:t>
            </w:r>
            <w:proofErr w:type="spellEnd"/>
            <w:r w:rsidRPr="00503E87">
              <w:rPr>
                <w:rFonts w:ascii="Times New Roman" w:hAnsi="Times New Roman"/>
              </w:rPr>
              <w:t xml:space="preserve"> </w:t>
            </w:r>
            <w:proofErr w:type="spellStart"/>
            <w:r w:rsidRPr="00503E87">
              <w:rPr>
                <w:rFonts w:ascii="Times New Roman" w:hAnsi="Times New Roman"/>
              </w:rPr>
              <w:t>University</w:t>
            </w:r>
            <w:proofErr w:type="spellEnd"/>
            <w:r w:rsidRPr="00503E87">
              <w:rPr>
                <w:rFonts w:ascii="Times New Roman" w:hAnsi="Times New Roman"/>
              </w:rPr>
              <w:t xml:space="preserve"> Press. 2011. 977s.</w:t>
            </w:r>
          </w:p>
          <w:p w:rsidR="00D254DD" w:rsidRPr="00CD791E" w:rsidRDefault="00503E87" w:rsidP="00503E8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Information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from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book</w:t>
            </w:r>
            <w:proofErr w:type="spellEnd"/>
            <w:r>
              <w:rPr>
                <w:rFonts w:ascii="Times New Roman" w:hAnsi="Times New Roman"/>
              </w:rPr>
              <w:t xml:space="preserve"> - </w:t>
            </w:r>
            <w:proofErr w:type="spellStart"/>
            <w:r w:rsidRPr="00503E87">
              <w:rPr>
                <w:rFonts w:ascii="Times New Roman" w:hAnsi="Times New Roman"/>
              </w:rPr>
              <w:t>Hašanová</w:t>
            </w:r>
            <w:proofErr w:type="spellEnd"/>
            <w:r w:rsidRPr="00503E87">
              <w:rPr>
                <w:rFonts w:ascii="Times New Roman" w:hAnsi="Times New Roman"/>
              </w:rPr>
              <w:t xml:space="preserve">, J., </w:t>
            </w:r>
            <w:proofErr w:type="spellStart"/>
            <w:r w:rsidRPr="00503E87">
              <w:rPr>
                <w:rFonts w:ascii="Times New Roman" w:hAnsi="Times New Roman"/>
              </w:rPr>
              <w:t>Dudor</w:t>
            </w:r>
            <w:proofErr w:type="spellEnd"/>
            <w:r w:rsidRPr="00503E87">
              <w:rPr>
                <w:rFonts w:ascii="Times New Roman" w:hAnsi="Times New Roman"/>
              </w:rPr>
              <w:t xml:space="preserve">, L. Základy správneho práva. Vyd. Aleš </w:t>
            </w:r>
            <w:proofErr w:type="spellStart"/>
            <w:r w:rsidRPr="00503E87">
              <w:rPr>
                <w:rFonts w:ascii="Times New Roman" w:hAnsi="Times New Roman"/>
              </w:rPr>
              <w:t>Čeněk</w:t>
            </w:r>
            <w:proofErr w:type="spellEnd"/>
            <w:r w:rsidRPr="00503E87">
              <w:rPr>
                <w:rFonts w:ascii="Times New Roman" w:hAnsi="Times New Roman"/>
              </w:rPr>
              <w:t xml:space="preserve">, </w:t>
            </w:r>
            <w:proofErr w:type="spellStart"/>
            <w:r w:rsidRPr="00503E87">
              <w:rPr>
                <w:rFonts w:ascii="Times New Roman" w:hAnsi="Times New Roman"/>
              </w:rPr>
              <w:t>s.r.o</w:t>
            </w:r>
            <w:proofErr w:type="spellEnd"/>
            <w:r w:rsidRPr="00503E87">
              <w:rPr>
                <w:rFonts w:ascii="Times New Roman" w:hAnsi="Times New Roman"/>
              </w:rPr>
              <w:t>. Plzeň: 2013. 431 s. ISBN 978-80-7380-455-8.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B17C89">
            <w:pPr>
              <w:spacing w:after="0" w:line="240" w:lineRule="auto"/>
              <w:rPr>
                <w:rFonts w:ascii="Times New Roman" w:eastAsia="Times New Roman" w:hAnsi="Times New Roman"/>
                <w:iCs/>
                <w:sz w:val="20"/>
                <w:szCs w:val="20"/>
              </w:rPr>
            </w:pP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Knowledge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Language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Required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to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Successfully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Complete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the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  <w:sz w:val="20"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  <w:sz w:val="20"/>
              </w:rPr>
              <w:t>:</w:t>
            </w:r>
            <w:r w:rsidR="002613BD" w:rsidRPr="00B45FA6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2613BD" w:rsidRPr="00B45FA6">
              <w:rPr>
                <w:rFonts w:ascii="Times New Roman" w:hAnsi="Times New Roman"/>
                <w:sz w:val="20"/>
              </w:rPr>
              <w:t>English</w:t>
            </w:r>
            <w:proofErr w:type="spellEnd"/>
            <w:r w:rsidR="00B17C89">
              <w:rPr>
                <w:rFonts w:ascii="Times New Roman" w:hAnsi="Times New Roman"/>
                <w:sz w:val="20"/>
              </w:rPr>
              <w:t>, Slovak</w:t>
            </w:r>
            <w:r w:rsidRPr="00B45FA6">
              <w:rPr>
                <w:rFonts w:ascii="Times New Roman" w:hAnsi="Times New Roman"/>
                <w:vanish/>
                <w:sz w:val="20"/>
              </w:rPr>
              <w:t>slovenský</w:t>
            </w:r>
          </w:p>
        </w:tc>
      </w:tr>
      <w:tr w:rsidR="00813419" w:rsidRPr="00B45FA6" w:rsidTr="000061FC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3419" w:rsidRPr="00B45FA6" w:rsidRDefault="00813419" w:rsidP="00D50446">
            <w:pPr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r w:rsidRPr="00B45FA6">
              <w:rPr>
                <w:rFonts w:ascii="Times New Roman" w:hAnsi="Times New Roman"/>
                <w:b/>
                <w:sz w:val="20"/>
              </w:rPr>
              <w:t xml:space="preserve">Notes: </w:t>
            </w:r>
            <w:r w:rsidRPr="00B45FA6">
              <w:rPr>
                <w:rFonts w:ascii="Times New Roman" w:hAnsi="Times New Roman"/>
                <w:vanish/>
                <w:sz w:val="20"/>
              </w:rPr>
              <w:t>(odporúčam uvádzať len najnižší počet študentov pre PV a VP (obmedzenú kapacitu len v predmetoch realizovaných v špecifických podmienkach či špeciálnych učebniach). Napr.: Predmet sa poskytuje len ak si ho zapíše najmenej 10 (15?) študentov.</w:t>
            </w: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3419" w:rsidRPr="00B45FA6" w:rsidRDefault="00813419" w:rsidP="009F2142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Course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Assessment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</w:p>
          <w:p w:rsidR="00FC1202" w:rsidRPr="00B45FA6" w:rsidRDefault="00FC1202" w:rsidP="009F214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</w:rPr>
              <w:t>Total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Number</w:t>
            </w:r>
            <w:proofErr w:type="spellEnd"/>
            <w:r w:rsidRPr="00B45FA6">
              <w:rPr>
                <w:rFonts w:ascii="Times New Roman" w:hAnsi="Times New Roman"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</w:rPr>
              <w:t>Students</w:t>
            </w:r>
            <w:proofErr w:type="spellEnd"/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</w:rPr>
              <w:t>Assessed</w:t>
            </w:r>
            <w:proofErr w:type="spellEnd"/>
            <w:r w:rsidRPr="00B45FA6">
              <w:rPr>
                <w:rFonts w:ascii="Times New Roman" w:hAnsi="Times New Roman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80"/>
              <w:gridCol w:w="1781"/>
              <w:gridCol w:w="1781"/>
              <w:gridCol w:w="1781"/>
              <w:gridCol w:w="1781"/>
              <w:gridCol w:w="1783"/>
            </w:tblGrid>
            <w:tr w:rsidR="002613BD" w:rsidRPr="00B45FA6" w:rsidTr="00A005A5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613BD" w:rsidRPr="00B45FA6" w:rsidRDefault="00B45FA6" w:rsidP="00A005A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B45FA6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FX</w:t>
                  </w:r>
                </w:p>
              </w:tc>
            </w:tr>
            <w:tr w:rsidR="00813419" w:rsidRPr="00B45FA6" w:rsidTr="009B12D1">
              <w:trPr>
                <w:hidden/>
              </w:trPr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A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B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C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D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E</w:t>
                  </w: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vanish/>
                      <w:sz w:val="20"/>
                      <w:szCs w:val="20"/>
                    </w:rPr>
                  </w:pPr>
                  <w:r w:rsidRPr="00B45FA6">
                    <w:rPr>
                      <w:rFonts w:ascii="Times New Roman" w:hAnsi="Times New Roman"/>
                      <w:vanish/>
                      <w:sz w:val="20"/>
                    </w:rPr>
                    <w:t>FX</w:t>
                  </w:r>
                </w:p>
              </w:tc>
            </w:tr>
            <w:tr w:rsidR="00813419" w:rsidRPr="00B45FA6" w:rsidTr="00D50446"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3419" w:rsidRPr="00B45FA6" w:rsidRDefault="00813419" w:rsidP="009F214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13419" w:rsidRPr="00B45FA6" w:rsidRDefault="00813419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6D8" w:rsidRPr="00B17C89" w:rsidRDefault="00813419" w:rsidP="00B17C8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Provided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 w:rsidRPr="00B45FA6">
              <w:rPr>
                <w:rFonts w:ascii="Times New Roman" w:hAnsi="Times New Roman"/>
              </w:rPr>
              <w:t xml:space="preserve"> </w:t>
            </w:r>
            <w:r w:rsidR="00B17C89" w:rsidRPr="00B17C89">
              <w:rPr>
                <w:rFonts w:ascii="Times New Roman" w:hAnsi="Times New Roman"/>
              </w:rPr>
              <w:t>JUDr. Petra Andorová, PhD.</w:t>
            </w:r>
            <w:r w:rsidR="009B134A">
              <w:rPr>
                <w:rFonts w:ascii="Times New Roman" w:hAnsi="Times New Roman"/>
              </w:rPr>
              <w:t>, JUDr. PhDr. Ondrej Blažek</w:t>
            </w:r>
            <w:r w:rsidRPr="00B45FA6">
              <w:rPr>
                <w:rFonts w:ascii="Times New Roman" w:hAnsi="Times New Roman"/>
                <w:vanish/>
              </w:rPr>
              <w:t>Prednášky: Doc. JUDr. Milan Šmátrala, CSc.</w:t>
            </w:r>
          </w:p>
          <w:p w:rsidR="00982211" w:rsidRPr="00B45FA6" w:rsidRDefault="00982211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vanish/>
              </w:rPr>
            </w:pPr>
            <w:r w:rsidRPr="00B45FA6">
              <w:rPr>
                <w:rFonts w:ascii="Times New Roman" w:hAnsi="Times New Roman"/>
                <w:vanish/>
              </w:rPr>
              <w:t xml:space="preserve">                   Cvičenia: Doc. JUDr. Milan Šmátrala, CSc., JUDr. Ing. Štefan Neszméry</w:t>
            </w:r>
          </w:p>
          <w:p w:rsidR="00724B65" w:rsidRPr="00B45FA6" w:rsidRDefault="00724B65" w:rsidP="002A51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</w:p>
        </w:tc>
      </w:tr>
      <w:tr w:rsidR="00813419" w:rsidRPr="00B45FA6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B45FA6" w:rsidRDefault="00813419" w:rsidP="009B13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Date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of </w:t>
            </w:r>
            <w:proofErr w:type="spellStart"/>
            <w:r w:rsidRPr="00B45FA6">
              <w:rPr>
                <w:rFonts w:ascii="Times New Roman" w:hAnsi="Times New Roman"/>
                <w:b/>
              </w:rPr>
              <w:t>Last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45FA6">
              <w:rPr>
                <w:rFonts w:ascii="Times New Roman" w:hAnsi="Times New Roman"/>
                <w:b/>
              </w:rPr>
              <w:t>Amendment</w:t>
            </w:r>
            <w:proofErr w:type="spellEnd"/>
            <w:r w:rsidRPr="00B45FA6">
              <w:rPr>
                <w:rFonts w:ascii="Times New Roman" w:hAnsi="Times New Roman"/>
                <w:b/>
              </w:rPr>
              <w:t>:</w:t>
            </w:r>
            <w:r w:rsidRPr="00B45FA6">
              <w:rPr>
                <w:rFonts w:ascii="Times New Roman" w:hAnsi="Times New Roman"/>
              </w:rPr>
              <w:t xml:space="preserve"> </w:t>
            </w:r>
            <w:proofErr w:type="spellStart"/>
            <w:r w:rsidR="009B134A">
              <w:rPr>
                <w:rFonts w:ascii="Times New Roman" w:hAnsi="Times New Roman"/>
              </w:rPr>
              <w:t>Januar</w:t>
            </w:r>
            <w:proofErr w:type="spellEnd"/>
            <w:r w:rsidR="00415E90">
              <w:rPr>
                <w:rFonts w:ascii="Times New Roman" w:hAnsi="Times New Roman"/>
              </w:rPr>
              <w:t xml:space="preserve"> </w:t>
            </w:r>
            <w:r w:rsidR="00B17C89">
              <w:rPr>
                <w:rFonts w:ascii="Times New Roman" w:hAnsi="Times New Roman"/>
              </w:rPr>
              <w:t>30</w:t>
            </w:r>
            <w:r w:rsidR="002613BD" w:rsidRPr="00B45FA6">
              <w:rPr>
                <w:rFonts w:ascii="Times New Roman" w:hAnsi="Times New Roman"/>
                <w:vertAlign w:val="superscript"/>
              </w:rPr>
              <w:t>th</w:t>
            </w:r>
            <w:r w:rsidR="00BF7BBA">
              <w:rPr>
                <w:rFonts w:ascii="Times New Roman" w:hAnsi="Times New Roman"/>
              </w:rPr>
              <w:t xml:space="preserve"> 20</w:t>
            </w:r>
            <w:r w:rsidR="009B134A">
              <w:rPr>
                <w:rFonts w:ascii="Times New Roman" w:hAnsi="Times New Roman"/>
              </w:rPr>
              <w:t>23</w:t>
            </w:r>
            <w:r w:rsidRPr="00B45FA6">
              <w:rPr>
                <w:rFonts w:ascii="Times New Roman" w:hAnsi="Times New Roman"/>
                <w:vanish/>
              </w:rPr>
              <w:t>15. 1. 2014</w:t>
            </w:r>
          </w:p>
        </w:tc>
      </w:tr>
      <w:tr w:rsidR="00813419" w:rsidRPr="004E7FA4" w:rsidTr="00813419">
        <w:trPr>
          <w:cantSplit/>
          <w:trHeight w:val="380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419" w:rsidRPr="00A916D8" w:rsidRDefault="00813419" w:rsidP="00A916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0"/>
                <w:szCs w:val="20"/>
              </w:rPr>
            </w:pPr>
            <w:proofErr w:type="spellStart"/>
            <w:r w:rsidRPr="00B45FA6">
              <w:rPr>
                <w:rFonts w:ascii="Times New Roman" w:hAnsi="Times New Roman"/>
                <w:b/>
              </w:rPr>
              <w:t>Approved</w:t>
            </w:r>
            <w:proofErr w:type="spellEnd"/>
            <w:r w:rsidRPr="00B45FA6">
              <w:rPr>
                <w:rFonts w:ascii="Times New Roman" w:hAnsi="Times New Roman"/>
                <w:b/>
              </w:rPr>
              <w:t xml:space="preserve"> by:</w:t>
            </w:r>
            <w:r>
              <w:rPr>
                <w:rFonts w:ascii="Times New Roman" w:hAnsi="Times New Roman"/>
              </w:rPr>
              <w:t xml:space="preserve">  </w:t>
            </w:r>
          </w:p>
        </w:tc>
      </w:tr>
    </w:tbl>
    <w:p w:rsidR="00813419" w:rsidRPr="004E7FA4" w:rsidRDefault="00813419" w:rsidP="00BF7BBA">
      <w:pPr>
        <w:rPr>
          <w:rFonts w:ascii="Times New Roman" w:eastAsia="Times New Roman" w:hAnsi="Times New Roman"/>
        </w:rPr>
      </w:pPr>
    </w:p>
    <w:sectPr w:rsidR="00813419" w:rsidRPr="004E7FA4" w:rsidSect="005945A1">
      <w:pgSz w:w="11906" w:h="16838" w:code="9"/>
      <w:pgMar w:top="851" w:right="567" w:bottom="851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56575"/>
    <w:multiLevelType w:val="hybridMultilevel"/>
    <w:tmpl w:val="2F3C850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F10"/>
    <w:rsid w:val="000061FC"/>
    <w:rsid w:val="00115D5B"/>
    <w:rsid w:val="00190FEC"/>
    <w:rsid w:val="001E2EE4"/>
    <w:rsid w:val="001E60BF"/>
    <w:rsid w:val="002526E6"/>
    <w:rsid w:val="002613BD"/>
    <w:rsid w:val="00284947"/>
    <w:rsid w:val="002A5153"/>
    <w:rsid w:val="002F0DB2"/>
    <w:rsid w:val="002F4B5C"/>
    <w:rsid w:val="003D3884"/>
    <w:rsid w:val="00412912"/>
    <w:rsid w:val="00415E90"/>
    <w:rsid w:val="0042137C"/>
    <w:rsid w:val="004B2204"/>
    <w:rsid w:val="004E79B9"/>
    <w:rsid w:val="004E7FA4"/>
    <w:rsid w:val="00503E87"/>
    <w:rsid w:val="00526799"/>
    <w:rsid w:val="00532884"/>
    <w:rsid w:val="005945A1"/>
    <w:rsid w:val="005D1691"/>
    <w:rsid w:val="006B2737"/>
    <w:rsid w:val="00724B65"/>
    <w:rsid w:val="007F5755"/>
    <w:rsid w:val="00810668"/>
    <w:rsid w:val="00813419"/>
    <w:rsid w:val="0083099A"/>
    <w:rsid w:val="008720F4"/>
    <w:rsid w:val="0090645A"/>
    <w:rsid w:val="009344DE"/>
    <w:rsid w:val="00982211"/>
    <w:rsid w:val="00993066"/>
    <w:rsid w:val="009B12D1"/>
    <w:rsid w:val="009B134A"/>
    <w:rsid w:val="009F2142"/>
    <w:rsid w:val="00A20557"/>
    <w:rsid w:val="00A327C1"/>
    <w:rsid w:val="00A916D8"/>
    <w:rsid w:val="00AA61AE"/>
    <w:rsid w:val="00AF4726"/>
    <w:rsid w:val="00B17C89"/>
    <w:rsid w:val="00B45FA6"/>
    <w:rsid w:val="00B57034"/>
    <w:rsid w:val="00B852FE"/>
    <w:rsid w:val="00BF7BBA"/>
    <w:rsid w:val="00C142DF"/>
    <w:rsid w:val="00C63858"/>
    <w:rsid w:val="00C671F8"/>
    <w:rsid w:val="00CD791E"/>
    <w:rsid w:val="00CF3376"/>
    <w:rsid w:val="00D01F10"/>
    <w:rsid w:val="00D254DD"/>
    <w:rsid w:val="00D50446"/>
    <w:rsid w:val="00E5147F"/>
    <w:rsid w:val="00EB3766"/>
    <w:rsid w:val="00EC27E5"/>
    <w:rsid w:val="00F67F5B"/>
    <w:rsid w:val="00FA333D"/>
    <w:rsid w:val="00FC1202"/>
    <w:rsid w:val="00FF1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17E46"/>
  <w15:docId w15:val="{1C30687A-982E-4377-AA6D-A1E21821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813419"/>
    <w:pPr>
      <w:spacing w:after="0" w:line="240" w:lineRule="auto"/>
      <w:jc w:val="center"/>
    </w:pPr>
    <w:rPr>
      <w:rFonts w:ascii="Times New Roman" w:eastAsia="Times New Roman" w:hAnsi="Times New Roman"/>
      <w:b/>
      <w:caps/>
      <w:sz w:val="28"/>
      <w:szCs w:val="20"/>
      <w:lang w:val="en-US" w:eastAsia="cs-CZ"/>
    </w:rPr>
  </w:style>
  <w:style w:type="character" w:customStyle="1" w:styleId="NzovChar">
    <w:name w:val="Názov Char"/>
    <w:link w:val="Nzov"/>
    <w:rsid w:val="00813419"/>
    <w:rPr>
      <w:rFonts w:ascii="Times New Roman" w:eastAsia="Times New Roman" w:hAnsi="Times New Roman"/>
      <w:b/>
      <w:caps/>
      <w:sz w:val="28"/>
      <w:lang w:val="en-US" w:eastAsia="cs-CZ"/>
    </w:rPr>
  </w:style>
  <w:style w:type="paragraph" w:styleId="Odsekzoznamu">
    <w:name w:val="List Paragraph"/>
    <w:basedOn w:val="Normlny"/>
    <w:qFormat/>
    <w:rsid w:val="0081341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2613B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2613BD"/>
    <w:rPr>
      <w:rFonts w:ascii="Times New Roman" w:eastAsia="Times New Roman" w:hAnsi="Times New Roman"/>
      <w:b/>
      <w:bCs/>
      <w:sz w:val="24"/>
      <w:szCs w:val="24"/>
      <w:lang w:val="sk-SK" w:eastAsia="sk-SK" w:bidi="ar-SA"/>
    </w:rPr>
  </w:style>
  <w:style w:type="paragraph" w:styleId="Pta">
    <w:name w:val="footer"/>
    <w:basedOn w:val="Normlny"/>
    <w:link w:val="PtaChar"/>
    <w:rsid w:val="002613BD"/>
    <w:pPr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rsid w:val="002613BD"/>
    <w:rPr>
      <w:rFonts w:ascii="Times New Roman" w:eastAsia="Times New Roman" w:hAnsi="Times New Roman"/>
      <w:sz w:val="24"/>
      <w:szCs w:val="24"/>
      <w:lang w:val="sk-SK" w:eastAsia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atrala\Desktop\&#352;ablonaIL2014-EX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F4C5D-997E-4447-ACEB-58B954392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ŠablonaIL2014-EX</Template>
  <TotalTime>2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Akademia PZ</Company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Smatrala</dc:creator>
  <cp:lastModifiedBy>Lucia Cajkovicova</cp:lastModifiedBy>
  <cp:revision>3</cp:revision>
  <dcterms:created xsi:type="dcterms:W3CDTF">2023-02-23T06:40:00Z</dcterms:created>
  <dcterms:modified xsi:type="dcterms:W3CDTF">2023-04-17T05:49:00Z</dcterms:modified>
</cp:coreProperties>
</file>